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0F45" w:rsidRDefault="00350F45" w:rsidP="00ED68BF">
      <w:pPr>
        <w:ind w:right="3214"/>
      </w:pPr>
      <w:r>
        <w:t>Ausschreibungstext Geräte iVario</w:t>
      </w:r>
    </w:p>
    <w:p w:rsidR="00350F45" w:rsidRDefault="00350F45" w:rsidP="00ED68BF">
      <w:pPr>
        <w:pBdr>
          <w:bottom w:val="single" w:sz="4" w:space="1" w:color="auto"/>
        </w:pBdr>
        <w:ind w:right="3214"/>
        <w:rPr>
          <w:rFonts w:ascii="Arial" w:hAnsi="Arial" w:cs="Arial"/>
          <w:b/>
        </w:rPr>
      </w:pPr>
      <w:r>
        <w:rPr>
          <w:rFonts w:ascii="Arial" w:hAnsi="Arial" w:cs="Arial"/>
          <w:b/>
        </w:rPr>
        <w:t>Elektrisches Multifunktionales Gargerät zum Kochen, Braten und Fri</w:t>
      </w:r>
      <w:r w:rsidR="00560E89">
        <w:rPr>
          <w:rFonts w:ascii="Arial" w:hAnsi="Arial" w:cs="Arial"/>
          <w:b/>
        </w:rPr>
        <w:t xml:space="preserve">ttieren (150 Liter) </w:t>
      </w:r>
    </w:p>
    <w:p w:rsidR="00350F45" w:rsidRDefault="00350F45" w:rsidP="00ED68BF">
      <w:pPr>
        <w:ind w:right="3214"/>
        <w:rPr>
          <w:b/>
          <w:lang w:val="en-US"/>
        </w:rPr>
      </w:pPr>
      <w:r>
        <w:rPr>
          <w:lang w:val="en-US"/>
        </w:rPr>
        <w:t>Typ: RATIONAL iVario Pro XL:</w:t>
      </w:r>
    </w:p>
    <w:p w:rsidR="00350F45" w:rsidRDefault="00350F45" w:rsidP="00ED68BF">
      <w:pPr>
        <w:ind w:right="3214"/>
      </w:pPr>
      <w:r>
        <w:t>Multifunktionales Gargerät geeignet zum Kochen, Braten</w:t>
      </w:r>
      <w:r w:rsidR="00792B65">
        <w:t xml:space="preserve"> und Frittieren, sowie Niedert</w:t>
      </w:r>
      <w:r>
        <w:t>emperatur Garen, Sous vide Garen, Konfieren, Delta-T Garen, Sensitiv Kochen für das schonende Garen von sensiblen Produkten und weiteren gängigen Garmethoden. Das Gerät ist mit automatischen Garprozessen ausgestattet. Der Garverlauf passt sich immer automatisch an die Größe des Gargutes und an die Beladungsmenge an. Die Bräunung und die Kerntemperatur können frei eingestellt werden. Grafische Anzeige des Garablaufs mit allen Garparametern sowie dem errechneten Garzeitende. Automatische Anpassungen des Garverlaufs werden angezeigt. Die Steuerung von Garvorgängen und Energie erfolgt über Mikroprozessoren. Das Gerät verfügt über selbstlernende Bedienung die sich an das individuelle Nutzerverhalten an</w:t>
      </w:r>
      <w:r w:rsidR="00792B65">
        <w:t>passt. Der Tiegelboden kann in f</w:t>
      </w:r>
      <w:r>
        <w:t>lexible Zonen mit unterschiedlichen Temperaturen aufgeteilt werden. Manuelles Garen möglich mittels frei einstellbarer Flüssigkeitstemperatur, Tiegelbodentemperatur oder Öltemperatur. Erkennung des Ga</w:t>
      </w:r>
      <w:r w:rsidR="00792B65">
        <w:t>rmediums im Tiegel: kein Verbrennen</w:t>
      </w:r>
      <w:r>
        <w:t xml:space="preserve"> von Öl möglich. Der Tiegelboden muss innerhalb von weniger als drei Minuten von der Raumtemperatur bis auf +200 °C vorheizen. Das Gerät ist frei programmierbar (Bilder, Zubehör und Texte) mit mindestens </w:t>
      </w:r>
      <w:r w:rsidR="006E4D48">
        <w:t>1.000</w:t>
      </w:r>
      <w:r>
        <w:t xml:space="preserve"> Garprogrammen mit bis zu 12 Schritten. Verschiedene Be</w:t>
      </w:r>
      <w:r w:rsidR="002E6458">
        <w:t>nutzerp</w:t>
      </w:r>
      <w:r w:rsidR="00792B65">
        <w:t>rofile und Nutzerrechte</w:t>
      </w:r>
      <w:r>
        <w:t xml:space="preserve"> können konfiguriert werden. Das Gerät verfügt über eine automatische, motorbetriebene und zeitlich einstellbare Hebe- und Senkautomatik zum Kochen und Frittieren mit Garkörben. Das Gerät verfügt über einen automatischen, litergenauen Wassereinlauf zum Befüllen des Gartiegels. Der Wassereinlauf ist im Deckel integriert. Temperaturbereich von +30°C bis +250 °C. Als Überhitzungsschutz muss ein Sicherheitstemperaturbegrenzer wirken. Gefordert wird ein mindestens 10 Zoll großes Glas-Farbdisplay mit einem kapazitiven Touchscreen, selbsterklärender Symbolik und </w:t>
      </w:r>
      <w:r w:rsidR="00ED68BF">
        <w:t>z</w:t>
      </w:r>
      <w:r>
        <w:t>entralem Einstellrad mit „Push“-Funktion zur Bestätigung von Eingaben. Akustische Aufforderung un</w:t>
      </w:r>
      <w:r w:rsidR="006E4D48">
        <w:t xml:space="preserve">d visuelle Anzeige </w:t>
      </w:r>
      <w:r w:rsidR="006E4D48">
        <w:lastRenderedPageBreak/>
        <w:t>bei notwendi</w:t>
      </w:r>
      <w:r>
        <w:t>gen Anwendereingriffen. Die Displaysprache ist einstellbar. Umfangreiche Suchfunktion in allen Handbuchinhalten und Rezepten auf dem Gerät. Digitale Temperaturanzeigen. Temperatureinheit in °C oder °F einstellbar. Anzeige von Soll- und Istwerten. Zeitschaltuhr digital 0-24 Std. mit Dauerstellungen, wahlweise Einstellung Std./Min. bzw. Min./Sek. Klingelton einstellbar, Displaykontrast einstellbar. Automatische Anpassung an den Installationsort (Höhe/Siedepunkt) durch Gerätekalibrierung. Eine Hilfefunktion und ein Bedienerhandbuch werden im Display in Landessprache angezeigt. Die Reinigung der Geräte, insbesondere des Gartiegels, muss mit einfachen Spülmitteln machbar sein. Der Hersteller bietet eine Einweisung in die Bedienung und Anwendung des Gerätes an. Die Berührungstemperaturen der Tiegelverkleidung liegen bei maximal +70 °C. Beim Frittieren müssen Warnhinweise erscheinen, dass die Handbrause nicht verwendet und das Tiegelventil nicht geöffnet werden darf, damit kein Frittierfett in den Abfluss gelangt. Ein Sicherheitstemperaturbegrenzer verhindert das Überhitzen des Öls bei einem Fehlerfall. Das Gerät verfügt über einen</w:t>
      </w:r>
      <w:r w:rsidR="00792B65">
        <w:t xml:space="preserve"> reaktionsschnellen, kratzfesten</w:t>
      </w:r>
      <w:r>
        <w:t xml:space="preserve"> Hochleistungs-Tiegelboden. Der Tiegel ist dabei fugenfrei und verfügt über abgerundete Ecken. Der Tiegel ist durch einen Elektrozylinder kippbar. Die Entleerung von Koch- bzw. Reinigungswasser erfolgt direkt durch den integrierten Tiegelablauf. Ein Kippen in einen Bodenablauf bzw. eine Ablaufrinne ist nicht erforderlich.</w:t>
      </w:r>
      <w:r w:rsidR="00ED68BF">
        <w:t xml:space="preserve"> </w:t>
      </w:r>
      <w:r>
        <w:t>Durch den Ablauf entstehen keine unbeheizten Flächen auf dem Tiegelboden. Kerntemperaturfühler (1 Fühler pro Tiegel) mit mindestens sechs Messpunkten und automatischer Anzeige, wenn der Fühler nicht korrekt gesetzt ist. Magnetische Kerntemperaturfühlerhalterung am Deckel. Deckel öffnet und schließt durch einen Elektrozylinder. Das Gerät ist mit einem USB-Port ausgestattet. Das Display des Gerätes befindet sich auf einer ergonomischen Höhe. Die Anzeigeelemente für Temperatur und Zeit sind gut sichtbar.</w:t>
      </w:r>
      <w:r w:rsidR="00ED68BF">
        <w:t xml:space="preserve"> </w:t>
      </w:r>
      <w:r>
        <w:t xml:space="preserve">Das Gerät verfügt über ein Service-Diagnose-Programm mit automatischer Anzeige von Servicemeldungen und Selbsttestfunktion zur aktiven Überprüfung der Gerätefunktionen. Die vom Hersteller geschulten Techniker werden zertifiziert. Das Gerät kann mithilfe von einstellbaren Füßen ins Lot gesetzt werden. Innen- und Außenmaterial aus </w:t>
      </w:r>
      <w:r>
        <w:lastRenderedPageBreak/>
        <w:t xml:space="preserve">nichtrostendem Edelstahl. Das Gerät ist so auszulegen, dass Energieeinsparpotentiale ausgeschöpft werden. Wasser- und Stromverbrauch sind auf das notwendigste zu beschränken. Energieverbrauchsdaten nach DIN 18873 sind dem Auftraggeber nachzuweisen. Das Gerät verfügt über eine herausziehbare Schlauchbrause mit Rückholautomatik und umstellbarer Sprüh- und Einzelstrahlfunktion, die eine Wasserzugabe zu den Lebensmitteln und die Reinigung des Gerätes mit Wasser ermöglicht. Integrierte Steckdose, 1 NAC </w:t>
      </w:r>
      <w:r w:rsidR="00EC7AEA">
        <w:t>230</w:t>
      </w:r>
      <w:r>
        <w:t xml:space="preserve"> V. Vollintegrierte WLAN Schnittstelle ohne externe Antenne zum Anschluss an eine cloudbasierte Vernetzungslösung zum Fernzugriff und zur Wartung. Verwaltung von Garprogrammen und Produktionsmanagement sowie Gerätemanagement ist über eine cloudbasierte Lösung möglich. Übertragung von Garabläufen auch über integrierte USB-Schnittstelle möglich, welche auch zum lokalen Datenaustausch genutzt werden kann. HACCP Datenspeicher und -Datenausgabe über USB- Schnittstelle und auch per Cloud-Lösung ohne spezielle Herstellersoftware möglich. Technik und Elektronik des Gerätes von vorne zugänglich. </w:t>
      </w:r>
      <w:r w:rsidR="006E4D48">
        <w:t>Strahlwasserschutz: IPX5</w:t>
      </w:r>
      <w:r>
        <w:t xml:space="preserve">. Konformitätserklärung: CE. Folgende oder vergleichbare Zulassungen sind gefordert: VDE/Semko Intertek/ETL Safety/GS/ETL Sanitation/SVGW. Das Gerät ist zum unbeaufsichtigten Betrieb zugelassen. </w:t>
      </w:r>
      <w:r w:rsidR="00ED68BF">
        <w:br/>
      </w:r>
      <w:r>
        <w:t xml:space="preserve">Untergestell mit Füßen. </w:t>
      </w:r>
      <w:r w:rsidR="00ED68BF">
        <w:br/>
      </w:r>
      <w:r>
        <w:t xml:space="preserve">Untergestell mit Edelstahlfüßen. </w:t>
      </w:r>
      <w:r w:rsidR="00ED68BF">
        <w:br/>
      </w:r>
      <w:r>
        <w:t xml:space="preserve">Untergestell mit Lenkrollen. </w:t>
      </w:r>
      <w:r w:rsidR="00ED68BF">
        <w:br/>
      </w:r>
      <w:r>
        <w:t>Untergestell für Sockelaufstellung.</w:t>
      </w:r>
      <w:r w:rsidR="00ED68BF">
        <w:br/>
      </w:r>
      <w:r>
        <w:t xml:space="preserve">Untergestell elektrisch höhenverstellbar. </w:t>
      </w:r>
      <w:r w:rsidR="00ED68BF">
        <w:br/>
      </w:r>
      <w:r>
        <w:t xml:space="preserve">Unterbau mit Füßen. </w:t>
      </w:r>
      <w:r w:rsidR="00ED68BF">
        <w:br/>
      </w:r>
      <w:r>
        <w:t xml:space="preserve">Unterbau mit Edelstahlfüßen. </w:t>
      </w:r>
      <w:r w:rsidR="00ED68BF">
        <w:br/>
      </w:r>
      <w:r>
        <w:t xml:space="preserve">Unterbau mit Lenkrollen. </w:t>
      </w:r>
      <w:r w:rsidR="00ED68BF">
        <w:br/>
      </w:r>
      <w:r>
        <w:t xml:space="preserve">Unterbau elektrisch höhenverstellbar. </w:t>
      </w:r>
      <w:r w:rsidR="00ED68BF">
        <w:br/>
      </w:r>
      <w:r>
        <w:t xml:space="preserve">Verkleidung für Unterbau. </w:t>
      </w:r>
      <w:r w:rsidR="00ED68BF">
        <w:br/>
      </w:r>
      <w:r>
        <w:t xml:space="preserve">Stauraum im Unterbau. </w:t>
      </w:r>
      <w:r w:rsidR="00ED68BF">
        <w:br/>
      </w:r>
      <w:r>
        <w:t xml:space="preserve">Wandaufhängung. </w:t>
      </w:r>
      <w:r w:rsidR="00ED68BF">
        <w:br/>
      </w:r>
      <w:r>
        <w:t>Druckgaren.</w:t>
      </w:r>
      <w:r w:rsidR="00ED68BF">
        <w:t xml:space="preserve"> </w:t>
      </w:r>
      <w:r>
        <w:t xml:space="preserve">Das Druckgargerät muss gerätetechnisch so ausgelegt sein, dass es nicht unter die Druckgeräterichtlinie 97/23/EG fällt. Während des Druckgarvorganges muss der Deckel gegen unbeabsichtigtes Öffnen verriegelt sein. Regulierung und Überwachung des Druckes müssen permanent durchgeführt werden. Die Sicherung gegen </w:t>
      </w:r>
      <w:r>
        <w:lastRenderedPageBreak/>
        <w:t xml:space="preserve">Überdruck muss mittels eines Sicherheitsventils erfolgen, welches geschützt außerhalb des Deckels angebracht ist. </w:t>
      </w:r>
      <w:r w:rsidR="00ED68BF">
        <w:br/>
      </w:r>
      <w:r>
        <w:t xml:space="preserve">Gesperrter Frittiermodus. </w:t>
      </w:r>
      <w:r w:rsidR="00ED68BF">
        <w:br/>
      </w:r>
      <w:r w:rsidR="00201920">
        <w:t xml:space="preserve">Option: </w:t>
      </w:r>
      <w:r>
        <w:t xml:space="preserve">W-LAN Modul. </w:t>
      </w:r>
      <w:r w:rsidR="00ED68BF">
        <w:br/>
      </w:r>
      <w:r>
        <w:t xml:space="preserve">Ethernet-Anschluss RJ45. </w:t>
      </w:r>
      <w:r w:rsidR="00ED68BF">
        <w:br/>
      </w:r>
      <w:r>
        <w:t xml:space="preserve">Anschlussvorbereitung an eine Energieoptimierungsanlage. </w:t>
      </w:r>
      <w:r w:rsidR="00ED68BF">
        <w:br/>
      </w:r>
      <w:r>
        <w:t xml:space="preserve">Potentialfreier Kontakt. </w:t>
      </w:r>
      <w:r w:rsidR="00ED68BF">
        <w:br/>
      </w:r>
      <w:r>
        <w:t xml:space="preserve">Anschlussvorbereitung SOLAS. </w:t>
      </w:r>
      <w:r w:rsidR="00ED68BF">
        <w:br/>
      </w:r>
      <w:r>
        <w:t xml:space="preserve">Ohne Handbrause. Steckdose mit FI abgesichert. </w:t>
      </w:r>
      <w:r w:rsidR="00ED68BF">
        <w:br/>
      </w:r>
      <w:r>
        <w:t xml:space="preserve">Ohne Steckdose. </w:t>
      </w:r>
      <w:r w:rsidR="00ED68BF">
        <w:br/>
      </w:r>
      <w:r>
        <w:t xml:space="preserve">Abschließbare Bedienblende. </w:t>
      </w:r>
      <w:r w:rsidR="00ED68BF">
        <w:br/>
      </w:r>
      <w:r w:rsidR="001C7CC0">
        <w:t>Warmwasseranschluss.</w:t>
      </w:r>
      <w:r w:rsidR="001C7CC0">
        <w:br/>
      </w:r>
      <w:r w:rsidR="00091AEA" w:rsidRPr="00284906">
        <w:rPr>
          <w:color w:val="000000"/>
        </w:rPr>
        <w:t>Reduzierte Anschlussleistung</w:t>
      </w:r>
      <w:r w:rsidR="001C7CC0" w:rsidRPr="00284906">
        <w:rPr>
          <w:color w:val="000000"/>
        </w:rPr>
        <w:t xml:space="preserve"> für die Aufstellung bei begrenzten Anschlussmöglichkeiten.</w:t>
      </w:r>
      <w:r w:rsidR="00ED68BF">
        <w:br/>
      </w:r>
      <w:r>
        <w:t xml:space="preserve">Spachtel zum Wenden von Gargut. </w:t>
      </w:r>
      <w:r w:rsidR="00ED68BF">
        <w:br/>
      </w:r>
      <w:r>
        <w:t xml:space="preserve">Schaufel zum Entleeren oder Portionieren von großen Gargutmengen. </w:t>
      </w:r>
      <w:r w:rsidR="00ED68BF">
        <w:br/>
      </w:r>
      <w:r>
        <w:t xml:space="preserve">Rührspachtel für das Einrühren und Umrühren von Lebensmitteln. </w:t>
      </w:r>
      <w:r w:rsidR="00ED68BF">
        <w:br/>
      </w:r>
      <w:r>
        <w:t xml:space="preserve">Arm für die Anbringung der Körbe bei der Nutzung der Hebe- und Senkautomatik. </w:t>
      </w:r>
      <w:r w:rsidR="00ED68BF">
        <w:br/>
      </w:r>
      <w:r>
        <w:t>Kochkörbe für die Nutzung der Hebe- und Senkautomatik. Frittierkörbe für die Nutzung der Hebe- und Senkautomatik. Sieb zum Entleeren des Tiegels ohne</w:t>
      </w:r>
      <w:r w:rsidR="00792B65">
        <w:t>,</w:t>
      </w:r>
      <w:r>
        <w:t xml:space="preserve"> das</w:t>
      </w:r>
      <w:r w:rsidR="00792B65">
        <w:t>s</w:t>
      </w:r>
      <w:r>
        <w:t xml:space="preserve"> Gargut in den Abfluss gelangt. </w:t>
      </w:r>
      <w:r w:rsidR="00ED68BF">
        <w:br/>
      </w:r>
      <w:r>
        <w:t xml:space="preserve">Rost zur Vermeidung des Kontaktes zwischen Gargut und Tiegelboden. </w:t>
      </w:r>
      <w:bookmarkStart w:id="0" w:name="_GoBack"/>
      <w:bookmarkEnd w:id="0"/>
      <w:r w:rsidR="00ED68BF">
        <w:br/>
      </w:r>
      <w:r>
        <w:t>Transportwagen höheneinstellbar, zum leichten Entleeren und mühelosen Portionieren von Gargut in GN Behälter.</w:t>
      </w:r>
      <w:r w:rsidR="00ED68BF">
        <w:br/>
      </w:r>
      <w:r>
        <w:t xml:space="preserve">Ölwagen zum leichten Entleeren des Öls aus dem Tiegel und zur Lagerung ohne Lichteinstrahlung. </w:t>
      </w:r>
      <w:r w:rsidR="00ED68BF">
        <w:br/>
      </w:r>
      <w:r>
        <w:t xml:space="preserve">Wagen zum Lagern, Transportieren, und Abtropfen von Frittier- und Kochkörben. </w:t>
      </w:r>
      <w:r w:rsidR="00E70FFE">
        <w:br/>
      </w:r>
      <w:r>
        <w:t>Nutzvolumen: ca. 150 Liter</w:t>
      </w:r>
      <w:r w:rsidR="00282D93">
        <w:t xml:space="preserve"> Tiegelfläche: ca. 59 dm²</w:t>
      </w:r>
      <w:r>
        <w:t xml:space="preserve"> Breite: ca. 1365 mm Tiefe: ca. 894 mm Höhe: ca. 1053 mm (mit Untergestell) (mit Unt</w:t>
      </w:r>
      <w:r w:rsidR="00ED68BF">
        <w:t xml:space="preserve">erbau) Anschlusswert: ca. 41 kW. </w:t>
      </w:r>
      <w:r w:rsidR="001C7CC0" w:rsidRPr="00284906">
        <w:rPr>
          <w:color w:val="000000"/>
        </w:rPr>
        <w:t xml:space="preserve">(Option </w:t>
      </w:r>
      <w:r w:rsidR="00091AEA" w:rsidRPr="00284906">
        <w:rPr>
          <w:color w:val="000000"/>
        </w:rPr>
        <w:t>Reduzierte Anschlussleistung</w:t>
      </w:r>
      <w:r w:rsidR="001C7CC0" w:rsidRPr="00284906">
        <w:rPr>
          <w:color w:val="000000"/>
        </w:rPr>
        <w:t xml:space="preserve">: 34kW) </w:t>
      </w:r>
      <w:r w:rsidRPr="00284906">
        <w:rPr>
          <w:color w:val="000000"/>
        </w:rPr>
        <w:t>Nennspannung: 3NAC 400 V Kaltwasseranschluss: 3/4AG" Wasserablauf: DN 50 Abwasseranschluss an Festnetz oder freien Auslauf</w:t>
      </w:r>
    </w:p>
    <w:p w:rsidR="00532CFF" w:rsidRPr="00350F45" w:rsidRDefault="00532CFF" w:rsidP="00ED68BF">
      <w:pPr>
        <w:ind w:right="3214"/>
      </w:pPr>
    </w:p>
    <w:sectPr w:rsidR="00532CFF" w:rsidRPr="00350F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F4F" w:rsidRDefault="00F37F4F" w:rsidP="00F37F4F">
      <w:pPr>
        <w:spacing w:after="0" w:line="240" w:lineRule="auto"/>
      </w:pPr>
      <w:r>
        <w:separator/>
      </w:r>
    </w:p>
  </w:endnote>
  <w:endnote w:type="continuationSeparator" w:id="0">
    <w:p w:rsidR="00F37F4F" w:rsidRDefault="00F37F4F" w:rsidP="00F37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ATIONAL Sans TT">
    <w:panose1 w:val="020B0504020101010102"/>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F4F" w:rsidRDefault="00F37F4F" w:rsidP="00F37F4F">
      <w:pPr>
        <w:spacing w:after="0" w:line="240" w:lineRule="auto"/>
      </w:pPr>
      <w:r>
        <w:separator/>
      </w:r>
    </w:p>
  </w:footnote>
  <w:footnote w:type="continuationSeparator" w:id="0">
    <w:p w:rsidR="00F37F4F" w:rsidRDefault="00F37F4F" w:rsidP="00F37F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11D"/>
    <w:rsid w:val="00091AEA"/>
    <w:rsid w:val="000C4278"/>
    <w:rsid w:val="001C7CC0"/>
    <w:rsid w:val="00201920"/>
    <w:rsid w:val="00282D93"/>
    <w:rsid w:val="00284906"/>
    <w:rsid w:val="002E6458"/>
    <w:rsid w:val="00350F45"/>
    <w:rsid w:val="00532CFF"/>
    <w:rsid w:val="00560E89"/>
    <w:rsid w:val="006E4D48"/>
    <w:rsid w:val="00792B65"/>
    <w:rsid w:val="007F3577"/>
    <w:rsid w:val="008E4D5B"/>
    <w:rsid w:val="00DB211D"/>
    <w:rsid w:val="00E70FFE"/>
    <w:rsid w:val="00EC7AEA"/>
    <w:rsid w:val="00ED68BF"/>
    <w:rsid w:val="00F22A73"/>
    <w:rsid w:val="00F37F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626D3AA"/>
  <w15:chartTrackingRefBased/>
  <w15:docId w15:val="{88DA544C-FEC3-43F0-A006-CF488006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50F4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70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4</Pages>
  <Words>1116</Words>
  <Characters>7032</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RATIONAL AG</Company>
  <LinksUpToDate>false</LinksUpToDate>
  <CharactersWithSpaces>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Reuting, Maximilian</cp:lastModifiedBy>
  <cp:revision>9</cp:revision>
  <dcterms:created xsi:type="dcterms:W3CDTF">2020-01-23T07:57:00Z</dcterms:created>
  <dcterms:modified xsi:type="dcterms:W3CDTF">2020-08-11T11:46:00Z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54b091-04ac-479a-a84d-dd88221e828c_Enabled">
    <vt:lpwstr>True</vt:lpwstr>
  </property>
  <property fmtid="{D5CDD505-2E9C-101B-9397-08002B2CF9AE}" pid="3" name="MSIP_Label_d554b091-04ac-479a-a84d-dd88221e828c_SiteId">
    <vt:lpwstr>16dbd641-f98d-4ec4-967d-799b7e2b4147</vt:lpwstr>
  </property>
  <property fmtid="{D5CDD505-2E9C-101B-9397-08002B2CF9AE}" pid="4" name="MSIP_Label_d554b091-04ac-479a-a84d-dd88221e828c_Owner">
    <vt:lpwstr>m.streicher@rational-online.com</vt:lpwstr>
  </property>
  <property fmtid="{D5CDD505-2E9C-101B-9397-08002B2CF9AE}" pid="5" name="MSIP_Label_d554b091-04ac-479a-a84d-dd88221e828c_SetDate">
    <vt:lpwstr>2019-12-09T09:44:17.7241521Z</vt:lpwstr>
  </property>
  <property fmtid="{D5CDD505-2E9C-101B-9397-08002B2CF9AE}" pid="6" name="MSIP_Label_d554b091-04ac-479a-a84d-dd88221e828c_Name">
    <vt:lpwstr>Business</vt:lpwstr>
  </property>
  <property fmtid="{D5CDD505-2E9C-101B-9397-08002B2CF9AE}" pid="7" name="MSIP_Label_d554b091-04ac-479a-a84d-dd88221e828c_Application">
    <vt:lpwstr>Microsoft Azure Information Protection</vt:lpwstr>
  </property>
  <property fmtid="{D5CDD505-2E9C-101B-9397-08002B2CF9AE}" pid="8" name="MSIP_Label_d554b091-04ac-479a-a84d-dd88221e828c_ActionId">
    <vt:lpwstr>89e01fa2-64e1-472b-b8c3-545ebe5cb559</vt:lpwstr>
  </property>
  <property fmtid="{D5CDD505-2E9C-101B-9397-08002B2CF9AE}" pid="9" name="MSIP_Label_d554b091-04ac-479a-a84d-dd88221e828c_Extended_MSFT_Method">
    <vt:lpwstr>Manual</vt:lpwstr>
  </property>
  <property fmtid="{D5CDD505-2E9C-101B-9397-08002B2CF9AE}" pid="10" name="Sensitivity">
    <vt:lpwstr>Business</vt:lpwstr>
  </property>
</Properties>
</file>