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F6477" w14:textId="77777777" w:rsidR="00F329C5" w:rsidRPr="00F329C5" w:rsidRDefault="00F329C5" w:rsidP="00F329C5">
      <w:pPr>
        <w:ind w:right="2268"/>
        <w:rPr>
          <w:rFonts w:ascii="RATIONAL Sans TT" w:hAnsi="RATIONAL Sans TT" w:cs="RATIONAL Sans TT"/>
          <w:b/>
          <w:bCs/>
          <w:color w:val="3C3C3C"/>
          <w:spacing w:val="8"/>
          <w:shd w:val="clear" w:color="auto" w:fill="FFFFFF"/>
        </w:rPr>
        <w:bidi w:val="0"/>
      </w:pPr>
      <w:r>
        <w:rPr>
          <w:rFonts w:ascii="RATIONAL Sans TT" w:cs="RATIONAL Sans TT" w:hAnsi="RATIONAL Sans TT"/>
          <w:color w:val="3C3C3C"/>
          <w:shd w:val="clear" w:color="auto" w:fill="FFFFFF"/>
          <w:lang w:val="es-es"/>
          <w:b w:val="1"/>
          <w:bCs w:val="1"/>
          <w:i w:val="0"/>
          <w:iCs w:val="0"/>
          <w:u w:val="none"/>
          <w:vertAlign w:val="baseline"/>
          <w:rtl w:val="0"/>
        </w:rPr>
        <w:t xml:space="preserve">Solución de conectividad para el control de equipos y procesos para la preparación térmica de comidas en cocinas comerciales</w:t>
      </w:r>
    </w:p>
    <w:p w14:paraId="65A105DA" w14:textId="4FD457F7" w:rsidR="00364CAF" w:rsidRPr="00523D1F" w:rsidRDefault="009918A2" w:rsidP="00364CAF">
      <w:pPr>
        <w:ind w:right="2268"/>
        <w:rPr>
          <w:rFonts w:ascii="RATIONAL Sans TT" w:hAnsi="RATIONAL Sans TT" w:cs="RATIONAL Sans TT"/>
          <w:spacing w:val="8"/>
          <w:shd w:val="clear" w:color="auto" w:fill="FFFFFF"/>
        </w:rPr>
        <w:bidi w:val="0"/>
      </w:pPr>
      <w:r>
        <w:rPr>
          <w:rFonts w:ascii="RATIONAL Sans TT" w:cs="RATIONAL Sans TT" w:hAnsi="RATIONAL Sans TT"/>
          <w:color w:val="3C3C3C"/>
          <w:shd w:val="clear" w:color="auto" w:fill="FFFFFF"/>
          <w:lang w:val="es-es"/>
          <w:b w:val="0"/>
          <w:bCs w:val="0"/>
          <w:i w:val="0"/>
          <w:iCs w:val="0"/>
          <w:u w:val="none"/>
          <w:vertAlign w:val="baseline"/>
          <w:rtl w:val="0"/>
        </w:rPr>
        <w:br w:type="textWrapping"/>
      </w:r>
      <w:r>
        <w:rPr>
          <w:rFonts w:ascii="RATIONAL Sans TT" w:cs="RATIONAL Sans TT" w:hAnsi="RATIONAL Sans TT"/>
          <w:shd w:val="clear" w:color="auto" w:fill="FFFFFF"/>
          <w:lang w:val="es-es"/>
          <w:b w:val="0"/>
          <w:bCs w:val="0"/>
          <w:i w:val="0"/>
          <w:iCs w:val="0"/>
          <w:u w:val="none"/>
          <w:vertAlign w:val="baseline"/>
          <w:rtl w:val="0"/>
        </w:rPr>
        <w:t xml:space="preserve">ConnectedCooking para todos los sistemas de cocción RATIONAL con capacidad de conexión en red</w:t>
      </w:r>
    </w:p>
    <w:p w14:paraId="6D6A71FB" w14:textId="56D09951" w:rsidR="00A20306" w:rsidRPr="00523D1F" w:rsidRDefault="00111F3F" w:rsidP="004A14E9">
      <w:pPr>
        <w:ind w:right="2268"/>
        <w:rPr>
          <w:rFonts w:ascii="RATIONAL Sans TT" w:hAnsi="RATIONAL Sans TT" w:cs="RATIONAL Sans TT"/>
          <w:spacing w:val="8"/>
          <w:shd w:val="clear" w:color="auto" w:fill="FFFFFF"/>
        </w:rPr>
        <w:bidi w:val="0"/>
      </w:pPr>
      <w:r>
        <w:rPr>
          <w:rFonts w:ascii="RATIONAL Sans TT" w:cs="RATIONAL Sans TT" w:hAnsi="RATIONAL Sans TT"/>
          <w:shd w:val="clear" w:color="auto" w:fill="FFFFFF"/>
          <w:lang w:val="es-es"/>
          <w:b w:val="0"/>
          <w:bCs w:val="0"/>
          <w:i w:val="0"/>
          <w:iCs w:val="0"/>
          <w:u w:val="none"/>
          <w:vertAlign w:val="baseline"/>
          <w:rtl w:val="0"/>
        </w:rPr>
        <w:t xml:space="preserve">Resumen:</w:t>
      </w:r>
      <w:r>
        <w:rPr>
          <w:rFonts w:ascii="RATIONAL Sans TT" w:cs="RATIONAL Sans TT" w:hAnsi="RATIONAL Sans TT"/>
          <w:shd w:val="clear" w:color="auto" w:fill="FFFFFF"/>
          <w:lang w:val="es-es"/>
          <w:b w:val="0"/>
          <w:bCs w:val="0"/>
          <w:i w:val="0"/>
          <w:iCs w:val="0"/>
          <w:u w:val="none"/>
          <w:vertAlign w:val="baseline"/>
          <w:rtl w:val="0"/>
        </w:rPr>
        <w:br w:type="textWrapping"/>
      </w:r>
      <w:r>
        <w:rPr>
          <w:rFonts w:ascii="RATIONAL Sans TT" w:cs="RATIONAL Sans TT" w:hAnsi="RATIONAL Sans TT"/>
          <w:shd w:val="clear" w:color="auto" w:fill="FFFFFF"/>
          <w:lang w:val="es-es"/>
          <w:b w:val="0"/>
          <w:bCs w:val="0"/>
          <w:i w:val="0"/>
          <w:iCs w:val="0"/>
          <w:u w:val="none"/>
          <w:vertAlign w:val="baseline"/>
          <w:rtl w:val="0"/>
        </w:rPr>
        <w:t xml:space="preserve">A través de un cockpit o centro de control digital, el sistema ofrece una vista general de los equipos y procesos para la preparación térmica de comidas. Se muestra el estado en línea, los datos APPCC, el estado del servicio y de la higiene, el estado de funcionamiento y las estadísticas de funcionamiento sobre el uso de los equipos, los detalles relacionados con la limpieza y el uso de los programas más frecuentes. La información actual puede ser transferida a los dispositivos móviles en tiempo real mediante mensajes instantáneos, cuando se requiera la intervención del usuario (para cargar el equipo o al final del proceso de cocción). Transmisión automática de información sobre errores o averías, si se desea también directamente al proveedor de servicio técnico. El manual integrado, las recetas y los programas de cocción pueden transferirse entre los equipos y la solución de conectividad en ambas direcciones a través de Internet o mediante soportes de datos. El uso debe ser posible con cualquier navegador compatible con Internet sin necesidad de utilizar software adicional. Sincronización automática de la hora del equipo según la zona horaria. </w:t>
      </w:r>
    </w:p>
    <w:p w14:paraId="577C2A0D" w14:textId="67AFB011" w:rsidR="00E5584B" w:rsidRPr="00D525E8" w:rsidRDefault="00E5584B" w:rsidP="00E5584B">
      <w:pPr>
        <w:ind w:right="2268"/>
        <w:rPr>
          <w:rFonts w:ascii="RATIONAL Sans TT" w:hAnsi="RATIONAL Sans TT" w:cs="RATIONAL Sans TT"/>
          <w:spacing w:val="8"/>
          <w:shd w:val="clear" w:color="auto" w:fill="FFFFFF"/>
        </w:rPr>
        <w:bidi w:val="0"/>
      </w:pPr>
      <w:r>
        <w:rPr>
          <w:rFonts w:ascii="RATIONAL Sans TT" w:cs="RATIONAL Sans TT" w:hAnsi="RATIONAL Sans TT"/>
          <w:shd w:val="clear" w:color="auto" w:fill="FFFFFF"/>
          <w:lang w:val="es-es"/>
          <w:b w:val="0"/>
          <w:bCs w:val="0"/>
          <w:i w:val="0"/>
          <w:iCs w:val="0"/>
          <w:u w:val="none"/>
          <w:vertAlign w:val="baseline"/>
          <w:rtl w:val="0"/>
        </w:rPr>
        <w:t xml:space="preserve">Gestión de recetas</w:t>
      </w:r>
      <w:r>
        <w:rPr>
          <w:rFonts w:ascii="RATIONAL Sans TT" w:cs="RATIONAL Sans TT" w:hAnsi="RATIONAL Sans TT"/>
          <w:shd w:val="clear" w:color="auto" w:fill="FFFFFF"/>
          <w:lang w:val="es-es"/>
          <w:b w:val="0"/>
          <w:bCs w:val="0"/>
          <w:i w:val="0"/>
          <w:iCs w:val="0"/>
          <w:u w:val="none"/>
          <w:vertAlign w:val="baseline"/>
          <w:rtl w:val="0"/>
        </w:rPr>
        <w:br w:type="textWrapping"/>
      </w:r>
      <w:r>
        <w:rPr>
          <w:rFonts w:ascii="RATIONAL Sans TT" w:cs="RATIONAL Sans TT" w:hAnsi="RATIONAL Sans TT"/>
          <w:shd w:val="clear" w:color="auto" w:fill="FFFFFF"/>
          <w:lang w:val="es-es"/>
          <w:b w:val="0"/>
          <w:bCs w:val="0"/>
          <w:i w:val="0"/>
          <w:iCs w:val="0"/>
          <w:u w:val="none"/>
          <w:vertAlign w:val="baseline"/>
          <w:rtl w:val="0"/>
        </w:rPr>
        <w:t xml:space="preserve">Creación de platos, recetas, programas de cocción e ingredientes en el establecimiento de producción de comidas. Transferencia de estas creaciones para la producción a los respectivos sistemas de cocción de destino en el momento deseado y en todas las ubicaciones. Estandarización de los planes de producción y los procesos de trabajo a través de pasos de preparación predefinidos. Acceso a más de 10 000 recetas probadas y registradas. Es posible crear perfiles de usuarios, y mediante esos perfiles se puede restringir individualmente la autorización para modificar los ajustes de los equipos.</w:t>
      </w:r>
    </w:p>
    <w:p w14:paraId="059CA753" w14:textId="3BBB62E2" w:rsidR="00E5584B" w:rsidRPr="00F329C5" w:rsidRDefault="00E5584B" w:rsidP="004A14E9">
      <w:pPr>
        <w:ind w:right="2268"/>
        <w:rPr>
          <w:rFonts w:ascii="RATIONAL Sans TT" w:hAnsi="RATIONAL Sans TT" w:cs="RATIONAL Sans TT"/>
          <w:color w:val="3C3C3C"/>
          <w:spacing w:val="8"/>
          <w:shd w:val="clear" w:color="auto" w:fill="FFFFFF"/>
        </w:rPr>
        <w:bidi w:val="0"/>
      </w:pPr>
      <w:r>
        <w:rPr>
          <w:rFonts w:ascii="RATIONAL Sans TT" w:cs="RATIONAL Sans TT" w:hAnsi="RATIONAL Sans TT"/>
          <w:shd w:val="clear" w:color="auto" w:fill="FFFFFF"/>
          <w:lang w:val="es-es"/>
          <w:b w:val="0"/>
          <w:bCs w:val="0"/>
          <w:i w:val="0"/>
          <w:iCs w:val="0"/>
          <w:u w:val="none"/>
          <w:vertAlign w:val="baseline"/>
          <w:rtl w:val="0"/>
        </w:rPr>
        <w:t xml:space="preserve">Gestión de dispositivos</w:t>
      </w:r>
      <w:r>
        <w:rPr>
          <w:rFonts w:ascii="RATIONAL Sans TT" w:cs="RATIONAL Sans TT" w:hAnsi="RATIONAL Sans TT"/>
          <w:shd w:val="clear" w:color="auto" w:fill="FFFFFF"/>
          <w:lang w:val="es-es"/>
          <w:b w:val="0"/>
          <w:bCs w:val="0"/>
          <w:i w:val="0"/>
          <w:iCs w:val="0"/>
          <w:u w:val="none"/>
          <w:vertAlign w:val="baseline"/>
          <w:rtl w:val="0"/>
        </w:rPr>
        <w:br w:type="textWrapping"/>
      </w:r>
      <w:r>
        <w:rPr>
          <w:rFonts w:ascii="RATIONAL Sans TT" w:cs="RATIONAL Sans TT" w:hAnsi="RATIONAL Sans TT"/>
          <w:shd w:val="clear" w:color="auto" w:fill="FFFFFF"/>
          <w:lang w:val="es-es"/>
          <w:b w:val="0"/>
          <w:bCs w:val="0"/>
          <w:i w:val="0"/>
          <w:iCs w:val="0"/>
          <w:u w:val="none"/>
          <w:vertAlign w:val="baseline"/>
          <w:rtl w:val="0"/>
        </w:rPr>
        <w:t xml:space="preserve">Gestión y control centralizados de los sistemas de cocción, derechos de usuario, estado de funcionamiento, programas, ajustes de parámetros e historial de errores. Posibilidad de control remoto de los sistemas de cocción a través de Internet con panel de control virtual a través de un PC y dispositivos móviles. Las alarmas, las solicitudes de acción y los mensajes de error pueden enviarse como mensajes instantáneos al usuario y, tras su aprobación, enviarse también a los proveedores de servicio técnico. El acceso a distancia, el diagnóstico y el mantenimiento, también a distancia, por parte del proveedor de servicio técnico pueden configurarse de forma opcional. Posibilidad de facilitar datos conforme a la norma DIN 18898 como fabricante, número de serie, denominación del equipo, datos APPCC, etc., mediante la interfaz de comunicación OPC UA a través de la nube.</w:t>
      </w:r>
    </w:p>
    <w:p w14:paraId="3B7FEE30" w14:textId="6C416887" w:rsidR="00247642" w:rsidRPr="00247642" w:rsidRDefault="00B17C57" w:rsidP="00247642">
      <w:pPr>
        <w:ind w:right="2268"/>
        <w:rPr>
          <w:rFonts w:ascii="RATIONAL Sans TT" w:hAnsi="RATIONAL Sans TT" w:cs="RATIONAL Sans TT"/>
          <w:color w:val="3C3C3C"/>
          <w:spacing w:val="8"/>
          <w:shd w:val="clear" w:color="auto" w:fill="FFFFFF"/>
        </w:rPr>
        <w:bidi w:val="0"/>
      </w:pPr>
      <w:r>
        <w:rPr>
          <w:rFonts w:ascii="RATIONAL Sans TT" w:cs="RATIONAL Sans TT" w:hAnsi="RATIONAL Sans TT"/>
          <w:color w:val="3C3C3C"/>
          <w:shd w:val="clear" w:color="auto" w:fill="FFFFFF"/>
          <w:lang w:val="es-es"/>
          <w:b w:val="0"/>
          <w:bCs w:val="0"/>
          <w:i w:val="0"/>
          <w:iCs w:val="0"/>
          <w:u w:val="none"/>
          <w:vertAlign w:val="baseline"/>
          <w:rtl w:val="0"/>
        </w:rPr>
        <w:t xml:space="preserve">Gestión de higiene</w:t>
      </w:r>
      <w:r>
        <w:rPr>
          <w:rFonts w:ascii="RATIONAL Sans TT" w:cs="RATIONAL Sans TT" w:hAnsi="RATIONAL Sans TT"/>
          <w:color w:val="3C3C3C"/>
          <w:shd w:val="clear" w:color="auto" w:fill="FFFFFF"/>
          <w:lang w:val="es-es"/>
          <w:b w:val="0"/>
          <w:bCs w:val="0"/>
          <w:i w:val="0"/>
          <w:iCs w:val="0"/>
          <w:u w:val="none"/>
          <w:vertAlign w:val="baseline"/>
          <w:rtl w:val="0"/>
        </w:rPr>
        <w:br w:type="textWrapping"/>
      </w:r>
      <w:r>
        <w:rPr>
          <w:rFonts w:ascii="RATIONAL Sans TT" w:cs="RATIONAL Sans TT" w:hAnsi="RATIONAL Sans TT"/>
          <w:color w:val="3C3C3C"/>
          <w:shd w:val="clear" w:color="auto" w:fill="FFFFFF"/>
          <w:lang w:val="es-es"/>
          <w:b w:val="0"/>
          <w:bCs w:val="0"/>
          <w:i w:val="0"/>
          <w:iCs w:val="0"/>
          <w:u w:val="none"/>
          <w:vertAlign w:val="baseline"/>
          <w:rtl w:val="0"/>
        </w:rPr>
        <w:t xml:space="preserve">Los datos APPCC relevantes se registran automáticamente y se documentan con claridad. Los datos pueden descargarse fácilmente como archivos Excel o PDF. </w:t>
      </w:r>
    </w:p>
    <w:p w14:paraId="036603A5" w14:textId="625A2A0A" w:rsidR="002B3DC2" w:rsidRPr="00B64E7A" w:rsidRDefault="002B3DC2" w:rsidP="00364CAF">
      <w:pPr>
        <w:ind w:right="2268"/>
        <w:rPr>
          <w:rFonts w:ascii="RATIONAL Sans TT" w:hAnsi="RATIONAL Sans TT" w:cs="RATIONAL Sans TT"/>
          <w:spacing w:val="8"/>
          <w:shd w:val="clear" w:color="auto" w:fill="FFFFFF"/>
        </w:rPr>
        <w:bidi w:val="0"/>
      </w:pPr>
      <w:r>
        <w:rPr>
          <w:rFonts w:ascii="RATIONAL Sans TT" w:cs="RATIONAL Sans TT" w:hAnsi="RATIONAL Sans TT"/>
          <w:shd w:val="clear" w:color="auto" w:fill="FFFFFF"/>
          <w:lang w:val="es-es"/>
          <w:b w:val="0"/>
          <w:bCs w:val="0"/>
          <w:i w:val="0"/>
          <w:iCs w:val="0"/>
          <w:u w:val="none"/>
          <w:vertAlign w:val="baseline"/>
          <w:rtl w:val="0"/>
        </w:rPr>
        <w:t xml:space="preserve">Seguridad</w:t>
      </w:r>
      <w:r>
        <w:rPr>
          <w:rFonts w:ascii="RATIONAL Sans TT" w:cs="RATIONAL Sans TT" w:hAnsi="RATIONAL Sans TT"/>
          <w:shd w:val="clear" w:color="auto" w:fill="FFFFFF"/>
          <w:lang w:val="es-es"/>
          <w:b w:val="0"/>
          <w:bCs w:val="0"/>
          <w:i w:val="0"/>
          <w:iCs w:val="0"/>
          <w:u w:val="none"/>
          <w:vertAlign w:val="baseline"/>
          <w:rtl w:val="0"/>
        </w:rPr>
        <w:br w:type="textWrapping"/>
      </w:r>
      <w:r>
        <w:rPr>
          <w:rFonts w:ascii="RATIONAL Sans TT" w:cs="RATIONAL Sans TT" w:hAnsi="RATIONAL Sans TT"/>
          <w:shd w:val="clear" w:color="auto" w:fill="FFFFFF"/>
          <w:lang w:val="es-es"/>
          <w:b w:val="0"/>
          <w:bCs w:val="0"/>
          <w:i w:val="0"/>
          <w:iCs w:val="0"/>
          <w:u w:val="none"/>
          <w:vertAlign w:val="baseline"/>
          <w:rtl w:val="0"/>
        </w:rPr>
        <w:t xml:space="preserve">Las cuentas de acceso y los datos recogidos específicos de los clientes deben ser codificados de acuerdo con los estándares actuales y solo deben ser accesibles para los destinatarios seleccionados. Debe ser posible hacer una copia de seguridad de los datos.</w:t>
      </w:r>
    </w:p>
    <w:p w14:paraId="3FF33A5E" w14:textId="4E6D4D06" w:rsidR="00EC040E" w:rsidRPr="00F329C5" w:rsidRDefault="000F22BF" w:rsidP="003A3558">
      <w:pPr>
        <w:ind w:right="2268"/>
        <w:rPr>
          <w:rFonts w:ascii="RATIONAL Sans TT" w:hAnsi="RATIONAL Sans TT" w:cs="RATIONAL Sans TT"/>
          <w:spacing w:val="8"/>
          <w:shd w:val="clear" w:color="auto" w:fill="FFFFFF"/>
        </w:rPr>
        <w:bidi w:val="0"/>
      </w:pPr>
      <w:r>
        <w:rPr>
          <w:rFonts w:ascii="RATIONAL Sans TT" w:cs="RATIONAL Sans TT" w:hAnsi="RATIONAL Sans TT"/>
          <w:shd w:val="clear" w:color="auto" w:fill="FFFFFF"/>
          <w:lang w:val="es-es"/>
          <w:b w:val="0"/>
          <w:bCs w:val="0"/>
          <w:i w:val="0"/>
          <w:iCs w:val="0"/>
          <w:u w:val="none"/>
          <w:vertAlign w:val="baseline"/>
          <w:rtl w:val="0"/>
        </w:rPr>
        <w:t xml:space="preserve">Requisitos del sistema:</w:t>
      </w:r>
      <w:r>
        <w:rPr>
          <w:rFonts w:ascii="RATIONAL Sans TT" w:cs="RATIONAL Sans TT" w:hAnsi="RATIONAL Sans TT"/>
          <w:shd w:val="clear" w:color="auto" w:fill="FFFFFF"/>
          <w:lang w:val="es-es"/>
          <w:b w:val="0"/>
          <w:bCs w:val="0"/>
          <w:i w:val="0"/>
          <w:iCs w:val="0"/>
          <w:u w:val="none"/>
          <w:vertAlign w:val="baseline"/>
          <w:rtl w:val="0"/>
        </w:rPr>
        <w:br w:type="textWrapping"/>
      </w:r>
      <w:r>
        <w:rPr>
          <w:rFonts w:ascii="RATIONAL Sans TT" w:cs="RATIONAL Sans TT" w:hAnsi="RATIONAL Sans TT"/>
          <w:shd w:val="clear" w:color="auto" w:fill="FFFFFF"/>
          <w:lang w:val="es-es"/>
          <w:b w:val="0"/>
          <w:bCs w:val="0"/>
          <w:i w:val="0"/>
          <w:iCs w:val="0"/>
          <w:u w:val="none"/>
          <w:vertAlign w:val="baseline"/>
          <w:rtl w:val="0"/>
        </w:rPr>
        <w:t xml:space="preserve">El cliente debe proporcionar una red que tenga el estándar WiFi 802.11 b/g/n 2,4 GHz y esté orientada hacia la dirección inalámbrica de los dispositivos hacia adelante y hacia arriba. Como alternativa, debe proporcionar una toma de red Ethernet RJ45 para cada equipo.</w:t>
      </w:r>
    </w:p>
    <w:sectPr w:rsidR="00EC040E" w:rsidRPr="00F329C5">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79851" w14:textId="77777777" w:rsidR="004B0DC1" w:rsidRDefault="004B0DC1" w:rsidP="004B0DC1">
      <w:pPr>
        <w:spacing w:after="0" w:line="240" w:lineRule="auto"/>
      </w:pPr>
      <w:r>
        <w:separator/>
      </w:r>
    </w:p>
  </w:endnote>
  <w:endnote w:type="continuationSeparator" w:id="0">
    <w:p w14:paraId="4A2987A9" w14:textId="77777777" w:rsidR="004B0DC1" w:rsidRDefault="004B0DC1" w:rsidP="004B0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TIONAL Sans TT">
    <w:panose1 w:val="020B0504020101010102"/>
    <w:charset w:val="00"/>
    <w:family w:val="swiss"/>
    <w:pitch w:val="variable"/>
    <w:sig w:usb0="A00002FF" w:usb1="4000607B" w:usb2="00000008"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8FADE" w14:textId="79DCE5BD" w:rsidR="00952DA8" w:rsidRPr="006B1442" w:rsidRDefault="00952DA8">
    <w:pPr>
      <w:pStyle w:val="Fuzeile"/>
      <w:bidi w:val="0"/>
    </w:pPr>
    <w:r>
      <w:rPr>
        <w:lang w:val="es-es"/>
        <w:b w:val="0"/>
        <w:bCs w:val="0"/>
        <w:i w:val="0"/>
        <w:iCs w:val="0"/>
        <w:u w:val="none"/>
        <w:vertAlign w:val="baseline"/>
        <w:rtl w:val="0"/>
      </w:rPr>
      <w:t xml:space="preserve">Texto de especificaciones para ConnectedCooking</w:t>
    </w:r>
  </w:p>
  <w:p w14:paraId="4DFCF462" w14:textId="77777777" w:rsidR="00952DA8" w:rsidRDefault="00952D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30AFA" w14:textId="77777777" w:rsidR="004B0DC1" w:rsidRDefault="004B0DC1" w:rsidP="004B0DC1">
      <w:pPr>
        <w:spacing w:after="0" w:line="240" w:lineRule="auto"/>
      </w:pPr>
      <w:r>
        <w:separator/>
      </w:r>
    </w:p>
  </w:footnote>
  <w:footnote w:type="continuationSeparator" w:id="0">
    <w:p w14:paraId="43FD888C" w14:textId="77777777" w:rsidR="004B0DC1" w:rsidRDefault="004B0DC1" w:rsidP="004B0D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16310F"/>
    <w:multiLevelType w:val="hybridMultilevel"/>
    <w:tmpl w:val="9AE6D0C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914389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475"/>
    <w:rsid w:val="00005C79"/>
    <w:rsid w:val="00014C46"/>
    <w:rsid w:val="00026E24"/>
    <w:rsid w:val="000C2553"/>
    <w:rsid w:val="000E757F"/>
    <w:rsid w:val="000F22BF"/>
    <w:rsid w:val="00111F3F"/>
    <w:rsid w:val="00113CD9"/>
    <w:rsid w:val="001446EB"/>
    <w:rsid w:val="00165591"/>
    <w:rsid w:val="001735C8"/>
    <w:rsid w:val="00204B68"/>
    <w:rsid w:val="002229EA"/>
    <w:rsid w:val="00247642"/>
    <w:rsid w:val="002660C6"/>
    <w:rsid w:val="002B3475"/>
    <w:rsid w:val="002B3DC2"/>
    <w:rsid w:val="0031725D"/>
    <w:rsid w:val="0032746D"/>
    <w:rsid w:val="003448D6"/>
    <w:rsid w:val="00364CAF"/>
    <w:rsid w:val="00373A70"/>
    <w:rsid w:val="003960A6"/>
    <w:rsid w:val="003A3558"/>
    <w:rsid w:val="003D02FE"/>
    <w:rsid w:val="00483CF4"/>
    <w:rsid w:val="004A14E9"/>
    <w:rsid w:val="004B0DC1"/>
    <w:rsid w:val="004B7820"/>
    <w:rsid w:val="00523D1F"/>
    <w:rsid w:val="00533993"/>
    <w:rsid w:val="00570E5F"/>
    <w:rsid w:val="005D159E"/>
    <w:rsid w:val="005D2836"/>
    <w:rsid w:val="00603F17"/>
    <w:rsid w:val="006223AB"/>
    <w:rsid w:val="00631B05"/>
    <w:rsid w:val="006344A8"/>
    <w:rsid w:val="00656285"/>
    <w:rsid w:val="006B1442"/>
    <w:rsid w:val="006D4066"/>
    <w:rsid w:val="007C4DF7"/>
    <w:rsid w:val="007E4638"/>
    <w:rsid w:val="00857F9C"/>
    <w:rsid w:val="008E08D3"/>
    <w:rsid w:val="00906DA7"/>
    <w:rsid w:val="00952DA8"/>
    <w:rsid w:val="00984EAE"/>
    <w:rsid w:val="009918A2"/>
    <w:rsid w:val="00992F39"/>
    <w:rsid w:val="009B7118"/>
    <w:rsid w:val="00A114F2"/>
    <w:rsid w:val="00A20306"/>
    <w:rsid w:val="00A26E5B"/>
    <w:rsid w:val="00A77193"/>
    <w:rsid w:val="00B17C57"/>
    <w:rsid w:val="00B53511"/>
    <w:rsid w:val="00B573D0"/>
    <w:rsid w:val="00B64E7A"/>
    <w:rsid w:val="00B71F50"/>
    <w:rsid w:val="00C01F01"/>
    <w:rsid w:val="00C24998"/>
    <w:rsid w:val="00C61503"/>
    <w:rsid w:val="00CD3058"/>
    <w:rsid w:val="00CE311A"/>
    <w:rsid w:val="00CE5FC1"/>
    <w:rsid w:val="00D0258D"/>
    <w:rsid w:val="00D07E53"/>
    <w:rsid w:val="00D525E8"/>
    <w:rsid w:val="00D77640"/>
    <w:rsid w:val="00D77C68"/>
    <w:rsid w:val="00E31B89"/>
    <w:rsid w:val="00E352A3"/>
    <w:rsid w:val="00E5584B"/>
    <w:rsid w:val="00EC040E"/>
    <w:rsid w:val="00F13BAB"/>
    <w:rsid w:val="00F329C5"/>
    <w:rsid w:val="00FF24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658ECE"/>
  <w15:chartTrackingRefBased/>
  <w15:docId w15:val="{B14FCC9D-E49A-4998-88BD-DA93E27CE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64CAF"/>
    <w:pPr>
      <w:ind w:left="720"/>
      <w:contextualSpacing/>
    </w:pPr>
  </w:style>
  <w:style w:type="paragraph" w:styleId="Kopfzeile">
    <w:name w:val="header"/>
    <w:basedOn w:val="Standard"/>
    <w:link w:val="KopfzeileZchn"/>
    <w:uiPriority w:val="99"/>
    <w:unhideWhenUsed/>
    <w:rsid w:val="00952DA8"/>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952DA8"/>
    <w:rPr>
      <w:lang w:val="en-US"/>
    </w:rPr>
  </w:style>
  <w:style w:type="paragraph" w:styleId="Fuzeile">
    <w:name w:val="footer"/>
    <w:basedOn w:val="Standard"/>
    <w:link w:val="FuzeileZchn"/>
    <w:uiPriority w:val="99"/>
    <w:unhideWhenUsed/>
    <w:rsid w:val="00952DA8"/>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952DA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2641</Characters>
  <Application>Microsoft Office Word</Application>
  <DocSecurity>4</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RATIONAL AG</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Schneider, Daniel</dc:creator>
  <cp:keywords/>
  <dc:description/>
  <cp:lastModifiedBy>Rank, Detlef</cp:lastModifiedBy>
  <cp:revision>2</cp:revision>
  <dcterms:created xsi:type="dcterms:W3CDTF">2023-01-26T13:42:00Z</dcterms:created>
  <dcterms:modified xsi:type="dcterms:W3CDTF">2023-01-26T13:42:00Z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bf5b59-ddf8-4540-9bf5-ca19c70b5d47_Enabled">
    <vt:lpwstr>True</vt:lpwstr>
  </property>
  <property fmtid="{D5CDD505-2E9C-101B-9397-08002B2CF9AE}" pid="3" name="MSIP_Label_a5bf5b59-ddf8-4540-9bf5-ca19c70b5d47_SiteId">
    <vt:lpwstr>16dbd641-f98d-4ec4-967d-799b7e2b4147</vt:lpwstr>
  </property>
  <property fmtid="{D5CDD505-2E9C-101B-9397-08002B2CF9AE}" pid="4" name="MSIP_Label_a5bf5b59-ddf8-4540-9bf5-ca19c70b5d47_Owner">
    <vt:lpwstr>d.rank@rational-online.com</vt:lpwstr>
  </property>
  <property fmtid="{D5CDD505-2E9C-101B-9397-08002B2CF9AE}" pid="5" name="MSIP_Label_a5bf5b59-ddf8-4540-9bf5-ca19c70b5d47_SetDate">
    <vt:lpwstr>2019-11-19T15:17:55.4947910Z</vt:lpwstr>
  </property>
  <property fmtid="{D5CDD505-2E9C-101B-9397-08002B2CF9AE}" pid="6" name="MSIP_Label_a5bf5b59-ddf8-4540-9bf5-ca19c70b5d47_Name">
    <vt:lpwstr>Public</vt:lpwstr>
  </property>
  <property fmtid="{D5CDD505-2E9C-101B-9397-08002B2CF9AE}" pid="7" name="MSIP_Label_a5bf5b59-ddf8-4540-9bf5-ca19c70b5d47_Application">
    <vt:lpwstr>Microsoft Azure Information Protection</vt:lpwstr>
  </property>
  <property fmtid="{D5CDD505-2E9C-101B-9397-08002B2CF9AE}" pid="8" name="MSIP_Label_a5bf5b59-ddf8-4540-9bf5-ca19c70b5d47_ActionId">
    <vt:lpwstr>ac22135e-0415-4be0-9b50-5b674937c249</vt:lpwstr>
  </property>
  <property fmtid="{D5CDD505-2E9C-101B-9397-08002B2CF9AE}" pid="9" name="MSIP_Label_a5bf5b59-ddf8-4540-9bf5-ca19c70b5d47_Extended_MSFT_Method">
    <vt:lpwstr>Manual</vt:lpwstr>
  </property>
  <property fmtid="{D5CDD505-2E9C-101B-9397-08002B2CF9AE}" pid="10" name="Sensitivity">
    <vt:lpwstr>Public</vt:lpwstr>
  </property>
</Properties>
</file>