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12E68" w14:textId="77777777" w:rsidR="00364CAF" w:rsidRPr="00211648" w:rsidRDefault="003F4654" w:rsidP="00364CAF">
      <w:pPr>
        <w:ind w:right="2268"/>
        <w:rPr>
          <w:rFonts w:cstheme="minorHAnsi"/>
          <w:b/>
          <w:color w:val="3C3C3C"/>
          <w:spacing w:val="8"/>
          <w:shd w:val="clear" w:color="auto" w:fill="FFFFFF"/>
          <w:lang w:val="es-ES"/>
        </w:rPr>
      </w:pPr>
      <w:bookmarkStart w:id="0" w:name="_GoBack"/>
      <w:bookmarkEnd w:id="0"/>
      <w:r w:rsidRPr="00211648">
        <w:rPr>
          <w:rFonts w:cstheme="minorHAnsi"/>
          <w:b/>
          <w:bCs/>
          <w:color w:val="3C3C3C"/>
          <w:shd w:val="clear" w:color="auto" w:fill="FFFFFF"/>
          <w:lang w:val="es-ES"/>
        </w:rPr>
        <w:t>Plataforma de conectividad para el control de equipos y procesos en cocinas comerciales</w:t>
      </w:r>
      <w:r w:rsidRPr="00211648">
        <w:rPr>
          <w:rFonts w:cstheme="minorHAnsi"/>
          <w:color w:val="3C3C3C"/>
          <w:shd w:val="clear" w:color="auto" w:fill="FFFFFF"/>
          <w:lang w:val="es-ES"/>
        </w:rPr>
        <w:br/>
        <w:t>ConnectedCooking Pro</w:t>
      </w:r>
    </w:p>
    <w:p w14:paraId="1F2E2194" w14:textId="5A9298B8" w:rsidR="00111F3F" w:rsidRPr="00211648" w:rsidRDefault="00111F3F" w:rsidP="00A20306">
      <w:pPr>
        <w:ind w:right="2268"/>
        <w:rPr>
          <w:rFonts w:cstheme="minorHAnsi"/>
          <w:color w:val="3C3C3C"/>
          <w:spacing w:val="8"/>
          <w:shd w:val="clear" w:color="auto" w:fill="FFFFFF"/>
          <w:lang w:val="es-ES"/>
        </w:rPr>
      </w:pPr>
      <w:r w:rsidRPr="00211648">
        <w:rPr>
          <w:rFonts w:cstheme="minorHAnsi"/>
          <w:color w:val="3C3C3C"/>
          <w:shd w:val="clear" w:color="auto" w:fill="FFFFFF"/>
          <w:lang w:val="es-ES"/>
        </w:rPr>
        <w:t>Solución de conectividad basada en la nube y aplicación para cocinas comerciales basada en una plataforma de fabricante abierta en la que se pueden integrar digitalmente valores y datos de proceso de los equipos de cocina con soluciones de nube propias, así como integrar otros registros y mediciones de sensores para la supervisión, control y documentación de los procesos y datos de la cocina. Se puede utilizar con cualquier navegador conectado a Internet</w:t>
      </w:r>
      <w:r w:rsidR="00211648">
        <w:rPr>
          <w:rFonts w:cstheme="minorHAnsi"/>
          <w:color w:val="3C3C3C"/>
          <w:shd w:val="clear" w:color="auto" w:fill="FFFFFF"/>
          <w:lang w:val="es-ES"/>
        </w:rPr>
        <w:t xml:space="preserve"> e independientemente de la plataforma</w:t>
      </w:r>
      <w:r w:rsidRPr="00211648">
        <w:rPr>
          <w:rFonts w:cstheme="minorHAnsi"/>
          <w:color w:val="3C3C3C"/>
          <w:shd w:val="clear" w:color="auto" w:fill="FFFFFF"/>
          <w:lang w:val="es-ES"/>
        </w:rPr>
        <w:t>. Se puede conectar en red</w:t>
      </w:r>
      <w:r w:rsidR="00211648">
        <w:rPr>
          <w:rFonts w:cstheme="minorHAnsi"/>
          <w:color w:val="3C3C3C"/>
          <w:shd w:val="clear" w:color="auto" w:fill="FFFFFF"/>
          <w:lang w:val="es-ES"/>
        </w:rPr>
        <w:t xml:space="preserve"> un</w:t>
      </w:r>
      <w:r w:rsidRPr="00211648">
        <w:rPr>
          <w:rFonts w:cstheme="minorHAnsi"/>
          <w:color w:val="3C3C3C"/>
          <w:shd w:val="clear" w:color="auto" w:fill="FFFFFF"/>
          <w:lang w:val="es-ES"/>
        </w:rPr>
        <w:t xml:space="preserve"> número </w:t>
      </w:r>
      <w:r w:rsidR="00211648">
        <w:rPr>
          <w:rFonts w:cstheme="minorHAnsi"/>
          <w:color w:val="3C3C3C"/>
          <w:shd w:val="clear" w:color="auto" w:fill="FFFFFF"/>
          <w:lang w:val="es-ES"/>
        </w:rPr>
        <w:t xml:space="preserve">ilimitado </w:t>
      </w:r>
      <w:r w:rsidRPr="00211648">
        <w:rPr>
          <w:rFonts w:cstheme="minorHAnsi"/>
          <w:color w:val="3C3C3C"/>
          <w:shd w:val="clear" w:color="auto" w:fill="FFFFFF"/>
          <w:lang w:val="es-ES"/>
        </w:rPr>
        <w:t xml:space="preserve">de equipos a través de una conexión Ethernet, wifi o un </w:t>
      </w:r>
      <w:proofErr w:type="spellStart"/>
      <w:r w:rsidRPr="00211648">
        <w:rPr>
          <w:rFonts w:cstheme="minorHAnsi"/>
          <w:color w:val="3C3C3C"/>
          <w:shd w:val="clear" w:color="auto" w:fill="FFFFFF"/>
          <w:lang w:val="es-ES"/>
        </w:rPr>
        <w:t>router</w:t>
      </w:r>
      <w:proofErr w:type="spellEnd"/>
      <w:r w:rsidRPr="00211648">
        <w:rPr>
          <w:rFonts w:cstheme="minorHAnsi"/>
          <w:color w:val="3C3C3C"/>
          <w:shd w:val="clear" w:color="auto" w:fill="FFFFFF"/>
          <w:lang w:val="es-ES"/>
        </w:rPr>
        <w:t xml:space="preserve"> LTE (se requiere una tarjeta SIM</w:t>
      </w:r>
      <w:r w:rsidRPr="00512B12">
        <w:rPr>
          <w:rFonts w:cstheme="minorHAnsi"/>
          <w:color w:val="3C3C3C"/>
          <w:shd w:val="clear" w:color="auto" w:fill="FFFFFF"/>
          <w:lang w:val="es-ES"/>
        </w:rPr>
        <w:t>). Una pasarela digital permite la integración de redes de sensores.</w:t>
      </w:r>
      <w:r w:rsidRPr="00211648">
        <w:rPr>
          <w:rFonts w:cstheme="minorHAnsi"/>
          <w:color w:val="3C3C3C"/>
          <w:shd w:val="clear" w:color="auto" w:fill="FFFFFF"/>
          <w:lang w:val="es-ES"/>
        </w:rPr>
        <w:t xml:space="preserve"> La conexión en red de los dispositivos de salida (teléfonos móviles, </w:t>
      </w:r>
      <w:proofErr w:type="spellStart"/>
      <w:r w:rsidRPr="00211648">
        <w:rPr>
          <w:rFonts w:cstheme="minorHAnsi"/>
          <w:color w:val="3C3C3C"/>
          <w:shd w:val="clear" w:color="auto" w:fill="FFFFFF"/>
          <w:lang w:val="es-ES"/>
        </w:rPr>
        <w:t>tablets</w:t>
      </w:r>
      <w:proofErr w:type="spellEnd"/>
      <w:r w:rsidRPr="00211648">
        <w:rPr>
          <w:rFonts w:cstheme="minorHAnsi"/>
          <w:color w:val="3C3C3C"/>
          <w:shd w:val="clear" w:color="auto" w:fill="FFFFFF"/>
          <w:lang w:val="es-ES"/>
        </w:rPr>
        <w:t>, dispositivos «llevables», etc.) ofrece la posibilidad de controlar procesos digitales desde dispositivos móviles.</w:t>
      </w:r>
    </w:p>
    <w:p w14:paraId="47CADD6B" w14:textId="65D5A0E6" w:rsidR="001735C8" w:rsidRPr="00211648" w:rsidRDefault="001735C8" w:rsidP="001735C8">
      <w:pPr>
        <w:ind w:right="2268"/>
        <w:rPr>
          <w:rFonts w:cstheme="minorHAnsi"/>
          <w:color w:val="3C3C3C"/>
          <w:spacing w:val="8"/>
          <w:shd w:val="clear" w:color="auto" w:fill="FFFFFF"/>
          <w:lang w:val="es-ES"/>
        </w:rPr>
      </w:pPr>
      <w:r w:rsidRPr="00211648">
        <w:rPr>
          <w:rFonts w:cstheme="minorHAnsi"/>
          <w:lang w:val="es-ES"/>
        </w:rPr>
        <w:t xml:space="preserve">Módulo </w:t>
      </w:r>
      <w:r w:rsidRPr="00211648">
        <w:rPr>
          <w:rFonts w:cstheme="minorHAnsi"/>
          <w:shd w:val="clear" w:color="auto" w:fill="FFFFFF"/>
          <w:lang w:val="es-ES"/>
        </w:rPr>
        <w:t xml:space="preserve">de gestión de calidad </w:t>
      </w:r>
      <w:r w:rsidR="00211648">
        <w:rPr>
          <w:rFonts w:cstheme="minorHAnsi"/>
          <w:shd w:val="clear" w:color="auto" w:fill="FFFFFF"/>
          <w:lang w:val="es-ES"/>
        </w:rPr>
        <w:t xml:space="preserve">e </w:t>
      </w:r>
      <w:r w:rsidRPr="00211648">
        <w:rPr>
          <w:rFonts w:cstheme="minorHAnsi"/>
          <w:shd w:val="clear" w:color="auto" w:fill="FFFFFF"/>
          <w:lang w:val="es-ES"/>
        </w:rPr>
        <w:t>higiene:</w:t>
      </w:r>
      <w:r w:rsidRPr="00211648">
        <w:rPr>
          <w:rFonts w:cstheme="minorHAnsi"/>
          <w:shd w:val="clear" w:color="auto" w:fill="FFFFFF"/>
          <w:lang w:val="es-ES"/>
        </w:rPr>
        <w:br/>
      </w:r>
      <w:r w:rsidRPr="00211648">
        <w:rPr>
          <w:rFonts w:cstheme="minorHAnsi"/>
          <w:color w:val="3C3C3C"/>
          <w:shd w:val="clear" w:color="auto" w:fill="FFFFFF"/>
          <w:lang w:val="es-ES"/>
        </w:rPr>
        <w:t xml:space="preserve">Digitalización de los procesos de higiene existentes a través de una interfaz con una amplia gestión de calidad </w:t>
      </w:r>
      <w:r w:rsidR="00211648">
        <w:rPr>
          <w:rFonts w:cstheme="minorHAnsi"/>
          <w:color w:val="3C3C3C"/>
          <w:shd w:val="clear" w:color="auto" w:fill="FFFFFF"/>
          <w:lang w:val="es-ES"/>
        </w:rPr>
        <w:t>e</w:t>
      </w:r>
      <w:r w:rsidRPr="00211648">
        <w:rPr>
          <w:rFonts w:cstheme="minorHAnsi"/>
          <w:color w:val="3C3C3C"/>
          <w:shd w:val="clear" w:color="auto" w:fill="FFFFFF"/>
          <w:lang w:val="es-ES"/>
        </w:rPr>
        <w:t xml:space="preserve"> higiene con listas de verificación digitales, guiada a través de dispositivos móviles. Listas de verificación adaptables y asignables para diferentes roles y ubicaciones de una empresa. Suministro de datos a prueba de manipulaciones a través de una pasarela digital mediante sensores de temperatura inalámbricos, termómetros de inserción inalámbricos y sistemas de entrada de datos o cámaras de dispositivos móviles. Los datos HACCP relevantes se registran automáticamente y se documentan </w:t>
      </w:r>
      <w:r w:rsidR="00512B12">
        <w:rPr>
          <w:rFonts w:cstheme="minorHAnsi"/>
          <w:color w:val="3C3C3C"/>
          <w:shd w:val="clear" w:color="auto" w:fill="FFFFFF"/>
          <w:lang w:val="es-ES"/>
        </w:rPr>
        <w:t>de manera clara</w:t>
      </w:r>
      <w:r w:rsidRPr="00211648">
        <w:rPr>
          <w:rFonts w:cstheme="minorHAnsi"/>
          <w:color w:val="3C3C3C"/>
          <w:shd w:val="clear" w:color="auto" w:fill="FFFFFF"/>
          <w:lang w:val="es-ES"/>
        </w:rPr>
        <w:t>. Las listas de verificación de medidas individuales se generan automáticamente si no se cumplen los valores de referencia ajustables. Los sensores de temperatura pueden integrarse en el sistema. Cubren un rango de temperatura de -40°C a +70°C (+250°C con sensor externo) y son programables como sensores de movimiento en 3 ejes. La frecuencia de los sensores en el rango MHZ, en el alcance inalámbrico y en la cobertura en campo abierto de por lo menos 100 metros, documenta por lo menos 15.000 puntos de medición con fecha y hora.</w:t>
      </w:r>
    </w:p>
    <w:p w14:paraId="4C9D239E" w14:textId="77777777" w:rsidR="008E08D3" w:rsidRPr="00211648" w:rsidRDefault="001735C8" w:rsidP="001735C8">
      <w:pPr>
        <w:ind w:right="2268"/>
        <w:rPr>
          <w:rFonts w:cstheme="minorHAnsi"/>
          <w:color w:val="3C3C3C"/>
          <w:spacing w:val="8"/>
          <w:shd w:val="clear" w:color="auto" w:fill="FFFFFF"/>
          <w:lang w:val="es-ES"/>
        </w:rPr>
      </w:pPr>
      <w:r w:rsidRPr="00211648">
        <w:rPr>
          <w:rFonts w:cstheme="minorHAnsi"/>
          <w:shd w:val="clear" w:color="auto" w:fill="FFFFFF"/>
          <w:lang w:val="es-ES"/>
        </w:rPr>
        <w:t>Módulo de gestión de recetas</w:t>
      </w:r>
      <w:r w:rsidRPr="00211648">
        <w:rPr>
          <w:rFonts w:cstheme="minorHAnsi"/>
          <w:color w:val="3C3C3C"/>
          <w:shd w:val="clear" w:color="auto" w:fill="FFFFFF"/>
          <w:lang w:val="es-ES"/>
        </w:rPr>
        <w:br/>
        <w:t xml:space="preserve">Creación de menús, platos, recetas, programas de cocción e ingredientes en el establecimiento de producción de comidas. Transferencia de estas creaciones para la producción en los respectivos equipos receptores. Registro automático de alérgenos y valores nutricionales a través de una base de datos de alimentos integrada. Estandarización de los planes de producción y los procesos de trabajo a través de pasos de preparación predefinidos. Acceso a más de 1000 recetas probadas y registradas. Distribución de los programas de cocción a todos los equipos conectados en red, incluso en diferentes establecimientos. </w:t>
      </w:r>
    </w:p>
    <w:p w14:paraId="436C44C2" w14:textId="438AC59B" w:rsidR="001735C8" w:rsidRPr="00211648" w:rsidRDefault="001735C8" w:rsidP="001735C8">
      <w:pPr>
        <w:ind w:right="2268"/>
        <w:rPr>
          <w:rFonts w:cstheme="minorHAnsi"/>
          <w:color w:val="3C3C3C"/>
          <w:spacing w:val="8"/>
          <w:shd w:val="clear" w:color="auto" w:fill="FFFFFF"/>
          <w:lang w:val="es-ES"/>
        </w:rPr>
      </w:pPr>
      <w:r w:rsidRPr="00211648">
        <w:rPr>
          <w:rFonts w:cstheme="minorHAnsi"/>
          <w:shd w:val="clear" w:color="auto" w:fill="FFFFFF"/>
          <w:lang w:val="es-ES"/>
        </w:rPr>
        <w:t>Módulo de gestión de equipos</w:t>
      </w:r>
      <w:r w:rsidRPr="00211648">
        <w:rPr>
          <w:rFonts w:cstheme="minorHAnsi"/>
          <w:shd w:val="clear" w:color="auto" w:fill="FFFFFF"/>
          <w:lang w:val="es-ES"/>
        </w:rPr>
        <w:br/>
      </w:r>
      <w:r w:rsidRPr="00211648">
        <w:rPr>
          <w:rFonts w:cstheme="minorHAnsi"/>
          <w:color w:val="3C3C3C"/>
          <w:shd w:val="clear" w:color="auto" w:fill="FFFFFF"/>
          <w:lang w:val="es-ES"/>
        </w:rPr>
        <w:t xml:space="preserve">Administración y control centralizados de equipos, derechos de usuario, </w:t>
      </w:r>
      <w:r w:rsidRPr="00211648">
        <w:rPr>
          <w:rFonts w:cstheme="minorHAnsi"/>
          <w:color w:val="3C3C3C"/>
          <w:shd w:val="clear" w:color="auto" w:fill="FFFFFF"/>
          <w:lang w:val="es-ES"/>
        </w:rPr>
        <w:lastRenderedPageBreak/>
        <w:t>estado de funcionamiento, programas, ajustes de parámetros</w:t>
      </w:r>
      <w:r w:rsidR="00A83799" w:rsidRPr="00211648">
        <w:rPr>
          <w:rFonts w:cstheme="minorHAnsi"/>
          <w:color w:val="3C3C3C"/>
          <w:shd w:val="clear" w:color="auto" w:fill="FFFFFF"/>
          <w:lang w:val="es-ES"/>
        </w:rPr>
        <w:t xml:space="preserve"> e</w:t>
      </w:r>
      <w:r w:rsidRPr="00211648">
        <w:rPr>
          <w:rFonts w:cstheme="minorHAnsi"/>
          <w:color w:val="3C3C3C"/>
          <w:shd w:val="clear" w:color="auto" w:fill="FFFFFF"/>
          <w:lang w:val="es-ES"/>
        </w:rPr>
        <w:t xml:space="preserve"> historial de errores. Las alarmas, las solicitudes de acción y los mensajes de error pueden enviarse como mensajes instantáneos al usuario y, tras su aprobación, enviarse también a los proveedores de servicio técnico. El acceso a distancia, el diagnóstico y el mantenimiento, también a distancia, por parte del proveedor de servicio técnico pueden configurarse de forma opcional.</w:t>
      </w:r>
    </w:p>
    <w:p w14:paraId="2B969095" w14:textId="51FAAD4A" w:rsidR="00B17C57" w:rsidRPr="00211648" w:rsidRDefault="00B17C57" w:rsidP="00364CAF">
      <w:pPr>
        <w:ind w:right="2268"/>
        <w:rPr>
          <w:rFonts w:cstheme="minorHAnsi"/>
          <w:color w:val="3C3C3C"/>
          <w:spacing w:val="8"/>
          <w:shd w:val="clear" w:color="auto" w:fill="FFFFFF"/>
          <w:lang w:val="es-ES"/>
        </w:rPr>
      </w:pPr>
      <w:r w:rsidRPr="00211648">
        <w:rPr>
          <w:rFonts w:cstheme="minorHAnsi"/>
          <w:color w:val="3C3C3C"/>
          <w:shd w:val="clear" w:color="auto" w:fill="FFFFFF"/>
          <w:lang w:val="es-ES"/>
        </w:rPr>
        <w:t xml:space="preserve">Acceso </w:t>
      </w:r>
      <w:r w:rsidR="003050B4">
        <w:rPr>
          <w:rFonts w:cstheme="minorHAnsi"/>
          <w:color w:val="3C3C3C"/>
          <w:shd w:val="clear" w:color="auto" w:fill="FFFFFF"/>
          <w:lang w:val="es-ES"/>
        </w:rPr>
        <w:t>remoto</w:t>
      </w:r>
    </w:p>
    <w:p w14:paraId="4A357041" w14:textId="029EDE01" w:rsidR="00B17C57" w:rsidRPr="00211648" w:rsidRDefault="00111F3F" w:rsidP="00364CAF">
      <w:pPr>
        <w:ind w:right="2268"/>
        <w:rPr>
          <w:rFonts w:cstheme="minorHAnsi"/>
          <w:color w:val="3C3C3C"/>
          <w:spacing w:val="8"/>
          <w:shd w:val="clear" w:color="auto" w:fill="FFFFFF"/>
          <w:lang w:val="es-ES"/>
        </w:rPr>
      </w:pPr>
      <w:r w:rsidRPr="00211648">
        <w:rPr>
          <w:rFonts w:cstheme="minorHAnsi"/>
          <w:color w:val="3C3C3C"/>
          <w:shd w:val="clear" w:color="auto" w:fill="FFFFFF"/>
          <w:lang w:val="es-ES"/>
        </w:rPr>
        <w:t xml:space="preserve">Vista general de los equipos y modificaciones de los ajustes en los vaporizadores combinados a través del acceso </w:t>
      </w:r>
      <w:r w:rsidR="003050B4">
        <w:rPr>
          <w:rFonts w:cstheme="minorHAnsi"/>
          <w:color w:val="3C3C3C"/>
          <w:shd w:val="clear" w:color="auto" w:fill="FFFFFF"/>
          <w:lang w:val="es-ES"/>
        </w:rPr>
        <w:t>remoto</w:t>
      </w:r>
    </w:p>
    <w:p w14:paraId="7F205C6E" w14:textId="77777777" w:rsidR="002B3DC2" w:rsidRPr="00211648" w:rsidRDefault="002B3DC2" w:rsidP="00364CAF">
      <w:pPr>
        <w:ind w:right="2268"/>
        <w:rPr>
          <w:rFonts w:cstheme="minorHAnsi"/>
          <w:color w:val="3C3C3C"/>
          <w:spacing w:val="8"/>
          <w:shd w:val="clear" w:color="auto" w:fill="FFFFFF"/>
          <w:lang w:val="es-ES"/>
        </w:rPr>
      </w:pPr>
      <w:r w:rsidRPr="00211648">
        <w:rPr>
          <w:rFonts w:cstheme="minorHAnsi"/>
          <w:color w:val="3C3C3C"/>
          <w:shd w:val="clear" w:color="auto" w:fill="FFFFFF"/>
          <w:lang w:val="es-ES"/>
        </w:rPr>
        <w:t>Seguridad</w:t>
      </w:r>
    </w:p>
    <w:p w14:paraId="1786DA9B" w14:textId="28831A03" w:rsidR="002B3DC2" w:rsidRPr="00211648" w:rsidRDefault="002B3DC2" w:rsidP="00364CAF">
      <w:pPr>
        <w:ind w:right="2268"/>
        <w:rPr>
          <w:rFonts w:cstheme="minorHAnsi"/>
          <w:color w:val="3C3C3C"/>
          <w:spacing w:val="8"/>
          <w:shd w:val="clear" w:color="auto" w:fill="FFFFFF"/>
          <w:lang w:val="es-ES"/>
        </w:rPr>
      </w:pPr>
      <w:r w:rsidRPr="00211648">
        <w:rPr>
          <w:rFonts w:cstheme="minorHAnsi"/>
          <w:color w:val="3C3C3C"/>
          <w:shd w:val="clear" w:color="auto" w:fill="FFFFFF"/>
          <w:lang w:val="es-ES"/>
        </w:rPr>
        <w:t xml:space="preserve">Los datos recogidos </w:t>
      </w:r>
      <w:r w:rsidR="003050B4">
        <w:rPr>
          <w:rFonts w:cstheme="minorHAnsi"/>
          <w:color w:val="3C3C3C"/>
          <w:shd w:val="clear" w:color="auto" w:fill="FFFFFF"/>
          <w:lang w:val="es-ES"/>
        </w:rPr>
        <w:t>son</w:t>
      </w:r>
      <w:r w:rsidRPr="00211648">
        <w:rPr>
          <w:rFonts w:cstheme="minorHAnsi"/>
          <w:color w:val="3C3C3C"/>
          <w:shd w:val="clear" w:color="auto" w:fill="FFFFFF"/>
          <w:lang w:val="es-ES"/>
        </w:rPr>
        <w:t xml:space="preserve"> codificados de acuerdo con los estándares actuales y solo </w:t>
      </w:r>
      <w:r w:rsidR="003050B4">
        <w:rPr>
          <w:rFonts w:cstheme="minorHAnsi"/>
          <w:color w:val="3C3C3C"/>
          <w:shd w:val="clear" w:color="auto" w:fill="FFFFFF"/>
          <w:lang w:val="es-ES"/>
        </w:rPr>
        <w:t>son</w:t>
      </w:r>
      <w:r w:rsidRPr="00211648">
        <w:rPr>
          <w:rFonts w:cstheme="minorHAnsi"/>
          <w:color w:val="3C3C3C"/>
          <w:shd w:val="clear" w:color="auto" w:fill="FFFFFF"/>
          <w:lang w:val="es-ES"/>
        </w:rPr>
        <w:t xml:space="preserve"> accesibles para los destinatarios seleccionados. </w:t>
      </w:r>
      <w:r w:rsidR="003050B4">
        <w:rPr>
          <w:rFonts w:cstheme="minorHAnsi"/>
          <w:color w:val="3C3C3C"/>
          <w:shd w:val="clear" w:color="auto" w:fill="FFFFFF"/>
          <w:lang w:val="es-ES"/>
        </w:rPr>
        <w:t>Es posible</w:t>
      </w:r>
      <w:r w:rsidRPr="00211648">
        <w:rPr>
          <w:rFonts w:cstheme="minorHAnsi"/>
          <w:color w:val="3C3C3C"/>
          <w:shd w:val="clear" w:color="auto" w:fill="FFFFFF"/>
          <w:lang w:val="es-ES"/>
        </w:rPr>
        <w:t xml:space="preserve"> hacer una copia de seguridad de los datos.</w:t>
      </w:r>
    </w:p>
    <w:p w14:paraId="2B7D1C7D" w14:textId="77777777" w:rsidR="00013006" w:rsidRPr="00211648" w:rsidRDefault="00992F39" w:rsidP="00CE5FC1">
      <w:pPr>
        <w:ind w:right="2268"/>
        <w:rPr>
          <w:rFonts w:cstheme="minorHAnsi"/>
          <w:color w:val="3C3C3C"/>
          <w:spacing w:val="8"/>
          <w:shd w:val="clear" w:color="auto" w:fill="FFFFFF"/>
          <w:lang w:val="es-ES"/>
        </w:rPr>
      </w:pPr>
      <w:r w:rsidRPr="00211648">
        <w:rPr>
          <w:rFonts w:cstheme="minorHAnsi"/>
          <w:color w:val="3C3C3C"/>
          <w:shd w:val="clear" w:color="auto" w:fill="FFFFFF"/>
          <w:lang w:val="es-ES"/>
        </w:rPr>
        <w:t>Requisitos del sistema</w:t>
      </w:r>
    </w:p>
    <w:p w14:paraId="79BAB961" w14:textId="77777777" w:rsidR="00483CF4" w:rsidRPr="00211648" w:rsidRDefault="00013006" w:rsidP="00483CF4">
      <w:pPr>
        <w:ind w:right="2268"/>
        <w:rPr>
          <w:rFonts w:cstheme="minorHAnsi"/>
          <w:color w:val="2E74B5" w:themeColor="accent1" w:themeShade="BF"/>
          <w:spacing w:val="8"/>
          <w:shd w:val="clear" w:color="auto" w:fill="FFFFFF"/>
          <w:lang w:val="es-ES"/>
        </w:rPr>
      </w:pPr>
      <w:r w:rsidRPr="00211648">
        <w:rPr>
          <w:rFonts w:cstheme="minorHAnsi"/>
          <w:color w:val="3C3C3C"/>
          <w:shd w:val="clear" w:color="auto" w:fill="FFFFFF"/>
          <w:lang w:val="es-ES"/>
        </w:rPr>
        <w:t>El cliente debe proporcionar una red que tenga el estándar WiFi 802.11 b/g/n 2,4 GHz y esté orientada hacia la dirección inalámbrica de los dispositivos hacia adelante y hacia arriba. Como alternativa, debe proporcionar una toma de red Ethernet RJ45 para cada equipo.</w:t>
      </w:r>
    </w:p>
    <w:p w14:paraId="0B66B381" w14:textId="77777777" w:rsidR="00992F39" w:rsidRPr="00211648" w:rsidRDefault="00992F39" w:rsidP="00364CAF">
      <w:pPr>
        <w:ind w:right="2268"/>
        <w:rPr>
          <w:rFonts w:cstheme="minorHAnsi"/>
          <w:color w:val="0070C0"/>
          <w:spacing w:val="8"/>
          <w:shd w:val="clear" w:color="auto" w:fill="FFFFFF"/>
          <w:lang w:val="es-ES"/>
        </w:rPr>
      </w:pPr>
    </w:p>
    <w:sectPr w:rsidR="00992F39" w:rsidRPr="00211648">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ED2B4" w14:textId="77777777" w:rsidR="008D62AC" w:rsidRDefault="008D62AC" w:rsidP="004B0DC1">
      <w:pPr>
        <w:spacing w:after="0" w:line="240" w:lineRule="auto"/>
      </w:pPr>
      <w:r>
        <w:separator/>
      </w:r>
    </w:p>
  </w:endnote>
  <w:endnote w:type="continuationSeparator" w:id="0">
    <w:p w14:paraId="4F21AFB5" w14:textId="77777777" w:rsidR="008D62AC" w:rsidRDefault="008D62AC" w:rsidP="004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IONALSansTT-Regular">
    <w:panose1 w:val="020B0504020101010102"/>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D7381" w14:textId="77777777" w:rsidR="00952DA8" w:rsidRPr="00211648" w:rsidRDefault="00952DA8">
    <w:pPr>
      <w:pStyle w:val="Fuzeile"/>
      <w:rPr>
        <w:lang w:val="es-ES"/>
      </w:rPr>
    </w:pPr>
    <w:r w:rsidRPr="00211648">
      <w:rPr>
        <w:lang w:val="es-ES"/>
      </w:rPr>
      <w:t>Documentación de licitación para ConnectedCooking Pro</w:t>
    </w:r>
  </w:p>
  <w:p w14:paraId="5784F926" w14:textId="77777777" w:rsidR="00952DA8" w:rsidRPr="00211648" w:rsidRDefault="00952DA8">
    <w:pPr>
      <w:pStyle w:val="Fuzeile"/>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C9C8A" w14:textId="77777777" w:rsidR="008D62AC" w:rsidRDefault="008D62AC" w:rsidP="004B0DC1">
      <w:pPr>
        <w:spacing w:after="0" w:line="240" w:lineRule="auto"/>
      </w:pPr>
      <w:r>
        <w:separator/>
      </w:r>
    </w:p>
  </w:footnote>
  <w:footnote w:type="continuationSeparator" w:id="0">
    <w:p w14:paraId="416B1F30" w14:textId="77777777" w:rsidR="008D62AC" w:rsidRDefault="008D62AC" w:rsidP="004B0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6310F"/>
    <w:multiLevelType w:val="hybridMultilevel"/>
    <w:tmpl w:val="9AE6D0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D266F35-F666-493A-A61E-C8733C3051E7}"/>
    <w:docVar w:name="dgnword-eventsink" w:val="506991920"/>
  </w:docVars>
  <w:rsids>
    <w:rsidRoot w:val="002B3475"/>
    <w:rsid w:val="00005C79"/>
    <w:rsid w:val="00013006"/>
    <w:rsid w:val="00014C46"/>
    <w:rsid w:val="000255EC"/>
    <w:rsid w:val="00026E24"/>
    <w:rsid w:val="000B30D3"/>
    <w:rsid w:val="000C2553"/>
    <w:rsid w:val="000E757F"/>
    <w:rsid w:val="00111F3F"/>
    <w:rsid w:val="00113CD9"/>
    <w:rsid w:val="001735C8"/>
    <w:rsid w:val="00211648"/>
    <w:rsid w:val="002229EA"/>
    <w:rsid w:val="002B3475"/>
    <w:rsid w:val="002B3DC2"/>
    <w:rsid w:val="002E1FCB"/>
    <w:rsid w:val="003050B4"/>
    <w:rsid w:val="0031725D"/>
    <w:rsid w:val="0032746D"/>
    <w:rsid w:val="00364CAF"/>
    <w:rsid w:val="003960A6"/>
    <w:rsid w:val="003F4654"/>
    <w:rsid w:val="004478C7"/>
    <w:rsid w:val="00483CF4"/>
    <w:rsid w:val="004A14E9"/>
    <w:rsid w:val="004B0DC1"/>
    <w:rsid w:val="00512B12"/>
    <w:rsid w:val="005323EE"/>
    <w:rsid w:val="00570E5F"/>
    <w:rsid w:val="00603F17"/>
    <w:rsid w:val="00656285"/>
    <w:rsid w:val="006D4066"/>
    <w:rsid w:val="006D6F23"/>
    <w:rsid w:val="006E73EE"/>
    <w:rsid w:val="00742C5B"/>
    <w:rsid w:val="007A7E22"/>
    <w:rsid w:val="007E4638"/>
    <w:rsid w:val="00857F9C"/>
    <w:rsid w:val="008D62AC"/>
    <w:rsid w:val="008E08D3"/>
    <w:rsid w:val="008E742D"/>
    <w:rsid w:val="00906DA7"/>
    <w:rsid w:val="00952DA8"/>
    <w:rsid w:val="00984EAE"/>
    <w:rsid w:val="009918A2"/>
    <w:rsid w:val="00992F39"/>
    <w:rsid w:val="00995524"/>
    <w:rsid w:val="009B7118"/>
    <w:rsid w:val="00A114F2"/>
    <w:rsid w:val="00A20306"/>
    <w:rsid w:val="00A26E5B"/>
    <w:rsid w:val="00A77193"/>
    <w:rsid w:val="00A83799"/>
    <w:rsid w:val="00B17C57"/>
    <w:rsid w:val="00B53511"/>
    <w:rsid w:val="00B573D0"/>
    <w:rsid w:val="00BF2CC0"/>
    <w:rsid w:val="00C01F01"/>
    <w:rsid w:val="00C24998"/>
    <w:rsid w:val="00C61503"/>
    <w:rsid w:val="00CD3058"/>
    <w:rsid w:val="00CE311A"/>
    <w:rsid w:val="00CE5FC1"/>
    <w:rsid w:val="00D0258D"/>
    <w:rsid w:val="00D77C68"/>
    <w:rsid w:val="00E159B5"/>
    <w:rsid w:val="00E31B89"/>
    <w:rsid w:val="00E352A3"/>
    <w:rsid w:val="00E548C7"/>
    <w:rsid w:val="00E7274B"/>
    <w:rsid w:val="00EF57BA"/>
    <w:rsid w:val="00FF24DB"/>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2305A0"/>
  <w15:chartTrackingRefBased/>
  <w15:docId w15:val="{B14FCC9D-E49A-4998-88BD-DA93E27C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CAF"/>
    <w:pPr>
      <w:ind w:left="720"/>
      <w:contextualSpacing/>
    </w:pPr>
  </w:style>
  <w:style w:type="paragraph" w:styleId="Kopfzeile">
    <w:name w:val="header"/>
    <w:basedOn w:val="Standard"/>
    <w:link w:val="KopfzeileZchn"/>
    <w:uiPriority w:val="99"/>
    <w:unhideWhenUsed/>
    <w:rsid w:val="00952DA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2DA8"/>
    <w:rPr>
      <w:lang w:val="en-US"/>
    </w:rPr>
  </w:style>
  <w:style w:type="paragraph" w:styleId="Fuzeile">
    <w:name w:val="footer"/>
    <w:basedOn w:val="Standard"/>
    <w:link w:val="FuzeileZchn"/>
    <w:uiPriority w:val="99"/>
    <w:unhideWhenUsed/>
    <w:rsid w:val="00952DA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2DA8"/>
    <w:rPr>
      <w:lang w:val="en-US"/>
    </w:rPr>
  </w:style>
  <w:style w:type="character" w:customStyle="1" w:styleId="fontstyle11">
    <w:name w:val="fontstyle11"/>
    <w:basedOn w:val="Absatz-Standardschriftart"/>
    <w:rsid w:val="00013006"/>
    <w:rPr>
      <w:rFonts w:ascii="RATIONALSansTT-Regular" w:hAnsi="RATIONALSansTT-Regular" w:hint="default"/>
      <w:b w:val="0"/>
      <w:bCs w:val="0"/>
      <w:i w:val="0"/>
      <w:iCs w:val="0"/>
      <w:color w:val="4D4D4F"/>
      <w:sz w:val="16"/>
      <w:szCs w:val="16"/>
    </w:rPr>
  </w:style>
  <w:style w:type="paragraph" w:styleId="Sprechblasentext">
    <w:name w:val="Balloon Text"/>
    <w:basedOn w:val="Standard"/>
    <w:link w:val="SprechblasentextZchn"/>
    <w:uiPriority w:val="99"/>
    <w:semiHidden/>
    <w:unhideWhenUsed/>
    <w:rsid w:val="004478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78C7"/>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3460</Characters>
  <Application>Microsoft Office Word</Application>
  <DocSecurity>4</DocSecurity>
  <Lines>28</Lines>
  <Paragraphs>8</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RATIONAL AG</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Daniel</dc:creator>
  <cp:keywords/>
  <dc:description/>
  <cp:lastModifiedBy>Rank, Detlef</cp:lastModifiedBy>
  <cp:revision>2</cp:revision>
  <dcterms:created xsi:type="dcterms:W3CDTF">2020-03-04T08:40:00Z</dcterms:created>
  <dcterms:modified xsi:type="dcterms:W3CDTF">2020-03-04T08:40:00Z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Enabled">
    <vt:lpwstr>True</vt:lpwstr>
  </property>
  <property fmtid="{D5CDD505-2E9C-101B-9397-08002B2CF9AE}" pid="3" name="MSIP_Label_a5bf5b59-ddf8-4540-9bf5-ca19c70b5d47_SiteId">
    <vt:lpwstr>16dbd641-f98d-4ec4-967d-799b7e2b4147</vt:lpwstr>
  </property>
  <property fmtid="{D5CDD505-2E9C-101B-9397-08002B2CF9AE}" pid="4" name="MSIP_Label_a5bf5b59-ddf8-4540-9bf5-ca19c70b5d47_Owner">
    <vt:lpwstr>d.rank@rational-online.com</vt:lpwstr>
  </property>
  <property fmtid="{D5CDD505-2E9C-101B-9397-08002B2CF9AE}" pid="5" name="MSIP_Label_a5bf5b59-ddf8-4540-9bf5-ca19c70b5d47_SetDate">
    <vt:lpwstr>2019-12-11T08:21:05.6225413Z</vt:lpwstr>
  </property>
  <property fmtid="{D5CDD505-2E9C-101B-9397-08002B2CF9AE}" pid="6" name="MSIP_Label_a5bf5b59-ddf8-4540-9bf5-ca19c70b5d47_Name">
    <vt:lpwstr>Public</vt:lpwstr>
  </property>
  <property fmtid="{D5CDD505-2E9C-101B-9397-08002B2CF9AE}" pid="7" name="MSIP_Label_a5bf5b59-ddf8-4540-9bf5-ca19c70b5d47_Application">
    <vt:lpwstr>Microsoft Azure Information Protection</vt:lpwstr>
  </property>
  <property fmtid="{D5CDD505-2E9C-101B-9397-08002B2CF9AE}" pid="8" name="MSIP_Label_a5bf5b59-ddf8-4540-9bf5-ca19c70b5d47_ActionId">
    <vt:lpwstr>41563ad4-591f-421c-8f97-ab8f8ffe7e95</vt:lpwstr>
  </property>
  <property fmtid="{D5CDD505-2E9C-101B-9397-08002B2CF9AE}" pid="9" name="MSIP_Label_a5bf5b59-ddf8-4540-9bf5-ca19c70b5d47_Extended_MSFT_Method">
    <vt:lpwstr>Manual</vt:lpwstr>
  </property>
  <property fmtid="{D5CDD505-2E9C-101B-9397-08002B2CF9AE}" pid="10" name="Sensitivity">
    <vt:lpwstr>Public</vt:lpwstr>
  </property>
</Properties>
</file>