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0D0" w:rsidRPr="00293929" w:rsidRDefault="003660D0" w:rsidP="003660D0">
      <w:pPr>
        <w:rPr>
          <w:rFonts w:asciiTheme="majorHAnsi" w:eastAsia="Times New Roman" w:hAnsiTheme="majorHAnsi" w:cstheme="majorHAnsi"/>
          <w:color w:val="222222"/>
          <w:lang w:val="en-US" w:eastAsia="de-DE"/>
        </w:rPr>
      </w:pPr>
      <w:bookmarkStart w:id="0" w:name="_GoBack"/>
      <w:bookmarkEnd w:id="0"/>
      <w:r w:rsidRPr="00293929">
        <w:rPr>
          <w:rFonts w:asciiTheme="majorHAnsi" w:eastAsia="Times New Roman" w:hAnsiTheme="majorHAnsi" w:cstheme="majorHAnsi"/>
          <w:color w:val="222222"/>
          <w:lang w:val="en-US" w:eastAsia="de-DE"/>
        </w:rPr>
        <w:t>Texto de especificação para os equipamentos iVario</w:t>
      </w:r>
      <w:r>
        <w:rPr>
          <w:rFonts w:asciiTheme="majorHAnsi" w:eastAsia="Times New Roman" w:hAnsiTheme="majorHAnsi" w:cstheme="majorHAnsi"/>
          <w:color w:val="222222"/>
          <w:lang w:val="en-US" w:eastAsia="de-DE"/>
        </w:rPr>
        <w:t xml:space="preserve"> PT-BR</w:t>
      </w:r>
    </w:p>
    <w:p w:rsidR="00BD6277" w:rsidRPr="00BD6277" w:rsidRDefault="00BD6277" w:rsidP="00BD6277">
      <w:pPr>
        <w:pBdr>
          <w:bottom w:val="single" w:sz="4" w:space="1" w:color="auto"/>
        </w:pBdr>
        <w:ind w:right="3214"/>
        <w:rPr>
          <w:b/>
          <w:lang w:val="en-US"/>
        </w:rPr>
      </w:pPr>
      <w:r w:rsidRPr="00BD6277">
        <w:rPr>
          <w:b/>
          <w:lang w:val="en-US"/>
        </w:rPr>
        <w:t>Equipamento de cocção multifuncional para cozinhar, assar e fritar (100 litros)</w:t>
      </w:r>
    </w:p>
    <w:p w:rsidR="001A49B6" w:rsidRPr="00BD6277" w:rsidRDefault="00BD6277" w:rsidP="001A49B6">
      <w:pPr>
        <w:ind w:right="3214"/>
        <w:rPr>
          <w:lang w:val="en-US"/>
        </w:rPr>
      </w:pPr>
      <w:r>
        <w:rPr>
          <w:lang w:val="en-US"/>
        </w:rPr>
        <w:t xml:space="preserve">Tipo: </w:t>
      </w:r>
      <w:r w:rsidRPr="00BD6277">
        <w:rPr>
          <w:lang w:val="en-US"/>
        </w:rPr>
        <w:t xml:space="preserve">RATIONAL iVario Pro </w:t>
      </w:r>
      <w:r w:rsidR="001A49B6" w:rsidRPr="00BD6277">
        <w:rPr>
          <w:lang w:val="en-US"/>
        </w:rPr>
        <w:t>L:</w:t>
      </w:r>
    </w:p>
    <w:p w:rsidR="00532CFF" w:rsidRPr="004D6444" w:rsidRDefault="00BD6277" w:rsidP="00BD6277">
      <w:pPr>
        <w:ind w:right="3214"/>
        <w:rPr>
          <w:lang w:val="en-US"/>
        </w:rPr>
      </w:pPr>
      <w:r w:rsidRPr="00BD6277">
        <w:rPr>
          <w:lang w:val="en-US"/>
        </w:rPr>
        <w:t>Equipamento de cocção multifuncional adequado para cozinhar, assar, fritar, cozinhar em baixas temperaturas, cozinhar com Sous-vide, preparar confits, preparo com Delta-T, cozimento delicado para um preparo saudável de produtos delicados e outros métodos d</w:t>
      </w:r>
      <w:r w:rsidR="004D6444">
        <w:rPr>
          <w:lang w:val="en-US"/>
        </w:rPr>
        <w:t xml:space="preserve">e cocção tradicionais. </w:t>
      </w:r>
      <w:r w:rsidRPr="00BD6277">
        <w:rPr>
          <w:lang w:val="en-US"/>
        </w:rPr>
        <w:t>O equipamento conta com processos de cocção automáticos. O andamento da cocção é adaptado sempre automaticamente ao tamanho do alimento e à quantidade de carga. O nível de dourado e a temperatura de núcleo podem ser configurados livremente. Exibição gráfica do processo de cocção com todos os parâmetros de cocção e o término calculado para o tempo de cocção. Os ajustes automáticos no an</w:t>
      </w:r>
      <w:r w:rsidR="004D6444">
        <w:rPr>
          <w:lang w:val="en-US"/>
        </w:rPr>
        <w:t xml:space="preserve">damento da cocção são exibidos. </w:t>
      </w:r>
      <w:r w:rsidRPr="00BD6277">
        <w:rPr>
          <w:lang w:val="en-US"/>
        </w:rPr>
        <w:t>O controle dos processos de cocção e da energia é realizado por micro</w:t>
      </w:r>
      <w:r w:rsidR="004D6444">
        <w:rPr>
          <w:lang w:val="en-US"/>
        </w:rPr>
        <w:t xml:space="preserve">processadores. </w:t>
      </w:r>
      <w:r w:rsidRPr="00BD6277">
        <w:rPr>
          <w:lang w:val="en-US"/>
        </w:rPr>
        <w:t>O equipamento conta com uma operação que aprende sozinha e adapta-se ao compo</w:t>
      </w:r>
      <w:r w:rsidR="004D6444">
        <w:rPr>
          <w:lang w:val="en-US"/>
        </w:rPr>
        <w:t xml:space="preserve">rtamento individual do usuário. </w:t>
      </w:r>
      <w:r w:rsidRPr="00BD6277">
        <w:rPr>
          <w:lang w:val="en-US"/>
        </w:rPr>
        <w:t>O fundo da cuba pode ser dividido em zonas flexíveis e configura</w:t>
      </w:r>
      <w:r w:rsidR="004D6444">
        <w:rPr>
          <w:lang w:val="en-US"/>
        </w:rPr>
        <w:t xml:space="preserve">do com temperaturas diferentes. </w:t>
      </w:r>
      <w:r w:rsidRPr="00BD6277">
        <w:rPr>
          <w:lang w:val="en-US"/>
        </w:rPr>
        <w:t xml:space="preserve">É possível cozinhar de modo manual configurando livremente a temperatura do líquido, a temperatura do fundo da </w:t>
      </w:r>
      <w:r w:rsidR="004D6444">
        <w:rPr>
          <w:lang w:val="en-US"/>
        </w:rPr>
        <w:t xml:space="preserve">cuba ou a temperatura do óleo.  </w:t>
      </w:r>
      <w:r w:rsidRPr="00BD6277">
        <w:rPr>
          <w:lang w:val="en-US"/>
        </w:rPr>
        <w:t>Reconhecimento do meio de cozimento na cub</w:t>
      </w:r>
      <w:r w:rsidR="004D6444">
        <w:rPr>
          <w:lang w:val="en-US"/>
        </w:rPr>
        <w:t xml:space="preserve">a: não tem como queimar o óleo. </w:t>
      </w:r>
      <w:r w:rsidRPr="00BD6277">
        <w:rPr>
          <w:lang w:val="en-US"/>
        </w:rPr>
        <w:t>O fundo da cuba deve ser preaquecido em menos de três minutos da temperatur</w:t>
      </w:r>
      <w:r w:rsidR="004D6444">
        <w:rPr>
          <w:lang w:val="en-US"/>
        </w:rPr>
        <w:t xml:space="preserve">a ambiente para até +200 °C. </w:t>
      </w:r>
      <w:r w:rsidRPr="00BD6277">
        <w:rPr>
          <w:lang w:val="en-US"/>
        </w:rPr>
        <w:t xml:space="preserve">O equipamento pode ser programado livremente (com imagens, acessórios e textos) com, no mínimo, </w:t>
      </w:r>
      <w:r w:rsidR="00671389">
        <w:rPr>
          <w:lang w:val="en-US"/>
        </w:rPr>
        <w:t>100</w:t>
      </w:r>
      <w:r w:rsidRPr="00BD6277">
        <w:rPr>
          <w:lang w:val="en-US"/>
        </w:rPr>
        <w:t>0 programas de</w:t>
      </w:r>
      <w:r w:rsidR="004D6444">
        <w:rPr>
          <w:lang w:val="en-US"/>
        </w:rPr>
        <w:t xml:space="preserve"> cocção com até 12 etapas cada. </w:t>
      </w:r>
      <w:r w:rsidRPr="00BD6277">
        <w:rPr>
          <w:lang w:val="en-US"/>
        </w:rPr>
        <w:t xml:space="preserve">É possível configurar perfis de usuários e </w:t>
      </w:r>
      <w:r w:rsidR="004D6444">
        <w:rPr>
          <w:lang w:val="en-US"/>
        </w:rPr>
        <w:t xml:space="preserve">direitos de usuário diferentes. </w:t>
      </w:r>
      <w:r w:rsidRPr="00BD6277">
        <w:rPr>
          <w:lang w:val="en-US"/>
        </w:rPr>
        <w:t>O equipamento conta com um sistema automático para levantar e abaixar acionado por um motor e com tempo configurável livremente para cozinhar</w:t>
      </w:r>
      <w:r w:rsidR="004D6444">
        <w:rPr>
          <w:lang w:val="en-US"/>
        </w:rPr>
        <w:t xml:space="preserve"> e fritar com cestos de cocção. </w:t>
      </w:r>
      <w:r w:rsidRPr="00BD6277">
        <w:rPr>
          <w:lang w:val="en-US"/>
        </w:rPr>
        <w:t>O equipamento conta com uma entrada de água automática e com precisão de litros para encher a cuba de cocção. A entrada de água está integrada à tampa.</w:t>
      </w:r>
      <w:r w:rsidR="004D6444">
        <w:rPr>
          <w:lang w:val="en-US"/>
        </w:rPr>
        <w:t xml:space="preserve"> </w:t>
      </w:r>
      <w:r w:rsidRPr="00BD6277">
        <w:rPr>
          <w:lang w:val="en-US"/>
        </w:rPr>
        <w:t>Faixa de temperatura de +30°C a +250 °C. Um limitador de temperatura de segurança deve atuar para proteger contra o superaquecimento.</w:t>
      </w:r>
      <w:r w:rsidR="004D6444">
        <w:rPr>
          <w:lang w:val="en-US"/>
        </w:rPr>
        <w:t xml:space="preserve"> </w:t>
      </w:r>
      <w:r w:rsidRPr="00BD6277">
        <w:rPr>
          <w:lang w:val="en-US"/>
        </w:rPr>
        <w:t xml:space="preserve">Exige-se uma tela colorida de vidro de, </w:t>
      </w:r>
      <w:r w:rsidRPr="00BD6277">
        <w:rPr>
          <w:lang w:val="en-US"/>
        </w:rPr>
        <w:lastRenderedPageBreak/>
        <w:t>no mínimo, 10 polegadas com uma tela sensível ao toque capacitiva, uma simbologia autoexplicativa e uma roda de ajuste central com função de apertar</w:t>
      </w:r>
      <w:r w:rsidR="004D6444">
        <w:rPr>
          <w:lang w:val="en-US"/>
        </w:rPr>
        <w:t xml:space="preserve"> para confirmar as informações. </w:t>
      </w:r>
      <w:r w:rsidRPr="00BD6277">
        <w:rPr>
          <w:lang w:val="en-US"/>
        </w:rPr>
        <w:t xml:space="preserve">Solicitação acústica e exibição visual para as intervenções necessárias que devem ser realizadas </w:t>
      </w:r>
      <w:r w:rsidR="004D6444">
        <w:rPr>
          <w:lang w:val="en-US"/>
        </w:rPr>
        <w:t xml:space="preserve">pelo usuário. Idioma da tela configurável. </w:t>
      </w:r>
      <w:r w:rsidRPr="00BD6277">
        <w:rPr>
          <w:lang w:val="en-US"/>
        </w:rPr>
        <w:t>Abrangente função de pesquisa em todos os conteúdos do manual</w:t>
      </w:r>
      <w:r w:rsidR="004D6444">
        <w:rPr>
          <w:lang w:val="en-US"/>
        </w:rPr>
        <w:t xml:space="preserve"> e nas receitas do equipamento. </w:t>
      </w:r>
      <w:r w:rsidRPr="00BD6277">
        <w:rPr>
          <w:lang w:val="en-US"/>
        </w:rPr>
        <w:t>E</w:t>
      </w:r>
      <w:r w:rsidR="004D6444">
        <w:rPr>
          <w:lang w:val="en-US"/>
        </w:rPr>
        <w:t xml:space="preserve">xibição digital da temperatura. </w:t>
      </w:r>
      <w:r w:rsidRPr="00BD6277">
        <w:rPr>
          <w:lang w:val="en-US"/>
        </w:rPr>
        <w:t>Unidade de temperat</w:t>
      </w:r>
      <w:r w:rsidR="004D6444">
        <w:rPr>
          <w:lang w:val="en-US"/>
        </w:rPr>
        <w:t xml:space="preserve">ura configurável para °C ou °F. </w:t>
      </w:r>
      <w:r w:rsidRPr="00BD6277">
        <w:rPr>
          <w:lang w:val="en-US"/>
        </w:rPr>
        <w:t>Exibição dos valores nominais e reai</w:t>
      </w:r>
      <w:r w:rsidR="004D6444">
        <w:rPr>
          <w:lang w:val="en-US"/>
        </w:rPr>
        <w:t xml:space="preserve">s. </w:t>
      </w:r>
      <w:r w:rsidRPr="00BD6277">
        <w:rPr>
          <w:lang w:val="en-US"/>
        </w:rPr>
        <w:t>Temporizador digital de 0-24 horas com configurações de duração; configuração</w:t>
      </w:r>
      <w:r w:rsidR="004D6444">
        <w:rPr>
          <w:lang w:val="en-US"/>
        </w:rPr>
        <w:t xml:space="preserve"> opcional entre h/min ou min/s. </w:t>
      </w:r>
      <w:r w:rsidRPr="00BD6277">
        <w:rPr>
          <w:lang w:val="en-US"/>
        </w:rPr>
        <w:t xml:space="preserve">Volume do som </w:t>
      </w:r>
      <w:r w:rsidR="004D6444">
        <w:rPr>
          <w:lang w:val="en-US"/>
        </w:rPr>
        <w:t xml:space="preserve">e contraste da tela ajustáveis. </w:t>
      </w:r>
      <w:r w:rsidRPr="00BD6277">
        <w:rPr>
          <w:lang w:val="en-US"/>
        </w:rPr>
        <w:t>Adaptação automática ao local da instalação (altura/ponto de ebulição) pela calibragem do equipame</w:t>
      </w:r>
      <w:r w:rsidR="004D6444">
        <w:rPr>
          <w:lang w:val="en-US"/>
        </w:rPr>
        <w:t xml:space="preserve">nto. </w:t>
      </w:r>
      <w:r w:rsidRPr="00BD6277">
        <w:rPr>
          <w:lang w:val="en-US"/>
        </w:rPr>
        <w:t>Uma função de ajuda e um manual do usuário são ex</w:t>
      </w:r>
      <w:r w:rsidR="004D6444">
        <w:rPr>
          <w:lang w:val="en-US"/>
        </w:rPr>
        <w:t xml:space="preserve">ibidos na tela no idioma local. </w:t>
      </w:r>
      <w:r w:rsidRPr="00BD6277">
        <w:rPr>
          <w:lang w:val="en-US"/>
        </w:rPr>
        <w:t>A limpeza do equipamento, principalmente da cuba de cocção, deve poder ser realizada</w:t>
      </w:r>
      <w:r w:rsidR="004D6444">
        <w:rPr>
          <w:lang w:val="en-US"/>
        </w:rPr>
        <w:t xml:space="preserve"> com detergentes convencionais. </w:t>
      </w:r>
      <w:r w:rsidRPr="00BD6277">
        <w:rPr>
          <w:lang w:val="en-US"/>
        </w:rPr>
        <w:t>A fabricante oferece um treinamento sobre a operação e</w:t>
      </w:r>
      <w:r w:rsidR="004D6444">
        <w:rPr>
          <w:lang w:val="en-US"/>
        </w:rPr>
        <w:t xml:space="preserve"> o uso do equipamento. </w:t>
      </w:r>
      <w:r w:rsidRPr="00BD6277">
        <w:rPr>
          <w:lang w:val="en-US"/>
        </w:rPr>
        <w:t xml:space="preserve">As temperaturas de contato do revestimento da </w:t>
      </w:r>
      <w:r w:rsidR="004D6444">
        <w:rPr>
          <w:lang w:val="en-US"/>
        </w:rPr>
        <w:t xml:space="preserve">cuba são de, no máximo, +70 °C. </w:t>
      </w:r>
      <w:r w:rsidRPr="00BD6277">
        <w:rPr>
          <w:lang w:val="en-US"/>
        </w:rPr>
        <w:t>Ao fritar, advertências devem ser exibidas indicando que a ducha não pode ser utilizada e a válvula da cuba não pode ser aberta para que a gordura da fritura n</w:t>
      </w:r>
      <w:r w:rsidR="004D6444">
        <w:rPr>
          <w:lang w:val="en-US"/>
        </w:rPr>
        <w:t xml:space="preserve">ão seja descartada pelo esgoto. </w:t>
      </w:r>
      <w:r w:rsidRPr="00BD6277">
        <w:rPr>
          <w:lang w:val="en-US"/>
        </w:rPr>
        <w:t>Um limitador de temperatura de segurança evita que o óleo</w:t>
      </w:r>
      <w:r w:rsidR="004D6444">
        <w:rPr>
          <w:lang w:val="en-US"/>
        </w:rPr>
        <w:t xml:space="preserve"> superaqueça em caso de falhas. </w:t>
      </w:r>
      <w:r w:rsidRPr="00BD6277">
        <w:rPr>
          <w:lang w:val="en-US"/>
        </w:rPr>
        <w:t>O fundo da cuba do equipamento apresenta um alto desempenho, uma reação ráp</w:t>
      </w:r>
      <w:r w:rsidR="004D6444">
        <w:rPr>
          <w:lang w:val="en-US"/>
        </w:rPr>
        <w:t xml:space="preserve">ida e é resistente a arranhões. </w:t>
      </w:r>
      <w:r w:rsidRPr="00BD6277">
        <w:rPr>
          <w:lang w:val="en-US"/>
        </w:rPr>
        <w:t>Desse modo, a cuba não têm entalhes e</w:t>
      </w:r>
      <w:r w:rsidR="004D6444">
        <w:rPr>
          <w:lang w:val="en-US"/>
        </w:rPr>
        <w:t xml:space="preserve"> conta com cantos arredondados. </w:t>
      </w:r>
      <w:r w:rsidRPr="00BD6277">
        <w:rPr>
          <w:lang w:val="en-US"/>
        </w:rPr>
        <w:t>A cuba pode ser v</w:t>
      </w:r>
      <w:r w:rsidR="004D6444">
        <w:rPr>
          <w:lang w:val="en-US"/>
        </w:rPr>
        <w:t xml:space="preserve">irada por um cilindro elétrico. </w:t>
      </w:r>
      <w:r w:rsidRPr="00BD6277">
        <w:rPr>
          <w:lang w:val="en-US"/>
        </w:rPr>
        <w:t>O esvaziamento da água de cozimento e de limpeza é realizado diretamente por uma saída de água integrada na cuba. Assim, não é preciso virar em um ralo de chão nem</w:t>
      </w:r>
      <w:r w:rsidR="004D6444">
        <w:rPr>
          <w:lang w:val="en-US"/>
        </w:rPr>
        <w:t xml:space="preserve"> em uma canaleta de escoamento. </w:t>
      </w:r>
      <w:r w:rsidRPr="00BD6277">
        <w:rPr>
          <w:lang w:val="en-US"/>
        </w:rPr>
        <w:t>Graças à sequência, o fundo da cuba não fica</w:t>
      </w:r>
      <w:r w:rsidR="004D6444">
        <w:rPr>
          <w:lang w:val="en-US"/>
        </w:rPr>
        <w:t xml:space="preserve"> com superfícies não aquecidas. </w:t>
      </w:r>
      <w:r w:rsidRPr="00BD6277">
        <w:rPr>
          <w:lang w:val="en-US"/>
        </w:rPr>
        <w:t>Sensor de temperatura de núcleo com, no mínimo, seis pontos de medição e exibição automática quando o sensor não é colocado</w:t>
      </w:r>
      <w:r w:rsidR="004D6444">
        <w:rPr>
          <w:lang w:val="en-US"/>
        </w:rPr>
        <w:t xml:space="preserve"> corretamente. </w:t>
      </w:r>
      <w:r w:rsidRPr="00BD6277">
        <w:rPr>
          <w:lang w:val="en-US"/>
        </w:rPr>
        <w:t xml:space="preserve">Suporte magnético para o sensor de </w:t>
      </w:r>
      <w:r w:rsidR="004D6444">
        <w:rPr>
          <w:lang w:val="en-US"/>
        </w:rPr>
        <w:t xml:space="preserve">temperatura de núcleo na tampa. </w:t>
      </w:r>
      <w:r w:rsidRPr="004D6444">
        <w:rPr>
          <w:lang w:val="en-US"/>
        </w:rPr>
        <w:t>A tampa abre e fecha por um cilindro elétrico.</w:t>
      </w:r>
      <w:r w:rsidR="004D6444">
        <w:rPr>
          <w:lang w:val="en-US"/>
        </w:rPr>
        <w:t xml:space="preserve"> </w:t>
      </w:r>
      <w:r w:rsidRPr="00BD6277">
        <w:rPr>
          <w:lang w:val="en-US"/>
        </w:rPr>
        <w:t>O equipamento está equipado com uma porta USB.</w:t>
      </w:r>
      <w:r w:rsidR="004D6444">
        <w:rPr>
          <w:lang w:val="en-US"/>
        </w:rPr>
        <w:t xml:space="preserve"> </w:t>
      </w:r>
      <w:r w:rsidRPr="00BD6277">
        <w:rPr>
          <w:lang w:val="en-US"/>
        </w:rPr>
        <w:t>A tela do equipamento está situada em uma altura ergonômica. Os elementos de exibição da temperatura e do tempo são bem visíveis.</w:t>
      </w:r>
      <w:r w:rsidR="004D6444">
        <w:rPr>
          <w:lang w:val="en-US"/>
        </w:rPr>
        <w:t xml:space="preserve"> </w:t>
      </w:r>
      <w:r w:rsidRPr="00BD6277">
        <w:rPr>
          <w:lang w:val="en-US"/>
        </w:rPr>
        <w:t xml:space="preserve">O equipamento conta com um programa de assistência técnica e de diagnóstico com </w:t>
      </w:r>
      <w:r w:rsidRPr="00BD6277">
        <w:rPr>
          <w:lang w:val="en-US"/>
        </w:rPr>
        <w:lastRenderedPageBreak/>
        <w:t>exibição automática das mensagens de serviço e uma função de autoteste para verificar ativamente as funções do equipamento. Os técnicos treinados pe</w:t>
      </w:r>
      <w:r w:rsidR="004D6444">
        <w:rPr>
          <w:lang w:val="en-US"/>
        </w:rPr>
        <w:t xml:space="preserve">la fabricante são certificados. </w:t>
      </w:r>
      <w:r w:rsidRPr="00BD6277">
        <w:rPr>
          <w:lang w:val="en-US"/>
        </w:rPr>
        <w:t xml:space="preserve">O equipamento pode ser acomodado </w:t>
      </w:r>
      <w:r w:rsidR="004D6444">
        <w:rPr>
          <w:lang w:val="en-US"/>
        </w:rPr>
        <w:t xml:space="preserve">com a ajuda dos pés ajustáveis. </w:t>
      </w:r>
      <w:r w:rsidRPr="00BD6277">
        <w:rPr>
          <w:lang w:val="en-US"/>
        </w:rPr>
        <w:t>Material inter</w:t>
      </w:r>
      <w:r w:rsidR="004D6444">
        <w:rPr>
          <w:lang w:val="en-US"/>
        </w:rPr>
        <w:t xml:space="preserve">no e externo de aço inoxidável. </w:t>
      </w:r>
      <w:r w:rsidRPr="00BD6277">
        <w:rPr>
          <w:lang w:val="en-US"/>
        </w:rPr>
        <w:t xml:space="preserve">O equipamento é projetado para obter o máximo dos potenciais de economia de energia. O consumo de água e de energia devem ser limitados ao mínimo necessário. Os dados de consumo de energia conforme a DIN 18873 devem ser </w:t>
      </w:r>
      <w:r w:rsidR="004D6444">
        <w:rPr>
          <w:lang w:val="en-US"/>
        </w:rPr>
        <w:t xml:space="preserve">comprovados para o contratante. </w:t>
      </w:r>
      <w:r w:rsidRPr="00BD6277">
        <w:rPr>
          <w:lang w:val="en-US"/>
        </w:rPr>
        <w:t>O equipamento conta com uma ducha removível com sistema automático de retração e função configurável de jato difuso e único que permite adicionar água aos alimentos e</w:t>
      </w:r>
      <w:r w:rsidR="004D6444">
        <w:rPr>
          <w:lang w:val="en-US"/>
        </w:rPr>
        <w:t xml:space="preserve"> limpar o equipamento com água. Tomada integrada, 1 NAC 230 V. </w:t>
      </w:r>
      <w:r w:rsidRPr="00BD6277">
        <w:rPr>
          <w:lang w:val="en-US"/>
        </w:rPr>
        <w:t>Interface de WLAN totalmente integrada sem antena externa para conectar a uma solução de conexão baseada em nuvem para o ace</w:t>
      </w:r>
      <w:r w:rsidR="004D6444">
        <w:rPr>
          <w:lang w:val="en-US"/>
        </w:rPr>
        <w:t xml:space="preserve">sso remoto e para a manutenção. </w:t>
      </w:r>
      <w:r w:rsidRPr="00BD6277">
        <w:rPr>
          <w:lang w:val="en-US"/>
        </w:rPr>
        <w:t>É possível gerenciar os programas de cocção, a produção e o equipamento po</w:t>
      </w:r>
      <w:r w:rsidR="004D6444">
        <w:rPr>
          <w:lang w:val="en-US"/>
        </w:rPr>
        <w:t xml:space="preserve">r uma solução baseada em nuvem. </w:t>
      </w:r>
      <w:r w:rsidRPr="00BD6277">
        <w:rPr>
          <w:lang w:val="en-US"/>
        </w:rPr>
        <w:t>Também é possível ver a evolução da cocção e a entrega por uma interface USB integrada que pode ser igualmente utiliza</w:t>
      </w:r>
      <w:r w:rsidR="004D6444">
        <w:rPr>
          <w:lang w:val="en-US"/>
        </w:rPr>
        <w:t xml:space="preserve">da para a troca de dados local. </w:t>
      </w:r>
      <w:r w:rsidRPr="00BD6277">
        <w:rPr>
          <w:lang w:val="en-US"/>
        </w:rPr>
        <w:t>Possibilidade de armazenamento e transferência de dados de HACCP pela interface USB e pela solução em nuvem sem a necessidade de um s</w:t>
      </w:r>
      <w:r w:rsidR="004D6444">
        <w:rPr>
          <w:lang w:val="en-US"/>
        </w:rPr>
        <w:t xml:space="preserve">oftware especial da fabricante. </w:t>
      </w:r>
      <w:r w:rsidRPr="00BD6277">
        <w:rPr>
          <w:lang w:val="en-US"/>
        </w:rPr>
        <w:t>Áreas técnicas e eletrônicas acessíveis pela frente do eq</w:t>
      </w:r>
      <w:r w:rsidR="004D6444">
        <w:rPr>
          <w:lang w:val="en-US"/>
        </w:rPr>
        <w:t xml:space="preserve">uipamento. </w:t>
      </w:r>
      <w:r w:rsidRPr="00BD6277">
        <w:rPr>
          <w:lang w:val="en-US"/>
        </w:rPr>
        <w:t xml:space="preserve">Proteção </w:t>
      </w:r>
      <w:r w:rsidR="004D6444">
        <w:rPr>
          <w:lang w:val="en-US"/>
        </w:rPr>
        <w:t>contra respingos de água: IPX</w:t>
      </w:r>
      <w:r w:rsidR="00671389">
        <w:rPr>
          <w:lang w:val="en-US"/>
        </w:rPr>
        <w:t>5</w:t>
      </w:r>
      <w:r w:rsidR="004D6444">
        <w:rPr>
          <w:lang w:val="en-US"/>
        </w:rPr>
        <w:t xml:space="preserve">. Declaração de conformidade: CE. </w:t>
      </w:r>
      <w:r w:rsidRPr="00BD6277">
        <w:rPr>
          <w:lang w:val="en-US"/>
        </w:rPr>
        <w:t>As autorizações a seguir ou semelhantes são requeridas: VDE/Semko Intertek/ETL</w:t>
      </w:r>
      <w:r w:rsidR="004D6444">
        <w:rPr>
          <w:lang w:val="en-US"/>
        </w:rPr>
        <w:t xml:space="preserve"> Safety/GS/ETL Sanitation/SVGW. </w:t>
      </w:r>
      <w:r w:rsidRPr="00BD6277">
        <w:rPr>
          <w:lang w:val="en-US"/>
        </w:rPr>
        <w:t>O equipamento está autorizado a ser operado sem monitoramento.</w:t>
      </w:r>
      <w:r w:rsidR="004D6444">
        <w:rPr>
          <w:lang w:val="en-US"/>
        </w:rPr>
        <w:br/>
        <w:t>Base inferior com pés.</w:t>
      </w:r>
      <w:r w:rsidR="004D6444">
        <w:rPr>
          <w:lang w:val="en-US"/>
        </w:rPr>
        <w:br/>
      </w:r>
      <w:r w:rsidRPr="00BD6277">
        <w:rPr>
          <w:lang w:val="en-US"/>
        </w:rPr>
        <w:t>Base infe</w:t>
      </w:r>
      <w:r w:rsidR="004D6444">
        <w:rPr>
          <w:lang w:val="en-US"/>
        </w:rPr>
        <w:t>rior com pés de aço inoxidável.</w:t>
      </w:r>
      <w:r w:rsidR="004D6444">
        <w:rPr>
          <w:lang w:val="en-US"/>
        </w:rPr>
        <w:br/>
        <w:t>Base inferior com rodinhas.</w:t>
      </w:r>
      <w:r w:rsidR="004D6444">
        <w:rPr>
          <w:lang w:val="en-US"/>
        </w:rPr>
        <w:br/>
      </w:r>
      <w:r w:rsidRPr="00BD6277">
        <w:rPr>
          <w:lang w:val="en-US"/>
        </w:rPr>
        <w:t>Base in</w:t>
      </w:r>
      <w:r w:rsidR="004D6444">
        <w:rPr>
          <w:lang w:val="en-US"/>
        </w:rPr>
        <w:t>ferior para instalação na base.</w:t>
      </w:r>
      <w:r w:rsidR="004D6444">
        <w:rPr>
          <w:lang w:val="en-US"/>
        </w:rPr>
        <w:br/>
      </w:r>
      <w:r w:rsidRPr="00BD6277">
        <w:rPr>
          <w:lang w:val="en-US"/>
        </w:rPr>
        <w:t>Base inferior</w:t>
      </w:r>
      <w:r w:rsidR="004D6444">
        <w:rPr>
          <w:lang w:val="en-US"/>
        </w:rPr>
        <w:t xml:space="preserve"> com ajuste elétrico da altura.</w:t>
      </w:r>
      <w:r w:rsidR="004D6444">
        <w:rPr>
          <w:lang w:val="en-US"/>
        </w:rPr>
        <w:br/>
        <w:t>Estrutura inferior com pés.</w:t>
      </w:r>
      <w:r w:rsidR="004D6444">
        <w:rPr>
          <w:lang w:val="en-US"/>
        </w:rPr>
        <w:br/>
      </w:r>
      <w:r w:rsidRPr="00BD6277">
        <w:rPr>
          <w:lang w:val="en-US"/>
        </w:rPr>
        <w:t>Estrutura infe</w:t>
      </w:r>
      <w:r w:rsidR="004D6444">
        <w:rPr>
          <w:lang w:val="en-US"/>
        </w:rPr>
        <w:t>rior com pés de aço inoxidável.</w:t>
      </w:r>
      <w:r w:rsidR="004D6444">
        <w:rPr>
          <w:lang w:val="en-US"/>
        </w:rPr>
        <w:br/>
      </w:r>
      <w:r w:rsidRPr="00BD6277">
        <w:rPr>
          <w:lang w:val="en-US"/>
        </w:rPr>
        <w:t>E</w:t>
      </w:r>
      <w:r w:rsidR="004D6444">
        <w:rPr>
          <w:lang w:val="en-US"/>
        </w:rPr>
        <w:t>strutura inferior com rodinhas.</w:t>
      </w:r>
      <w:r w:rsidR="004D6444">
        <w:rPr>
          <w:lang w:val="en-US"/>
        </w:rPr>
        <w:br/>
      </w:r>
      <w:r w:rsidRPr="00BD6277">
        <w:rPr>
          <w:lang w:val="en-US"/>
        </w:rPr>
        <w:t>Estrutura inferior</w:t>
      </w:r>
      <w:r w:rsidR="004D6444">
        <w:rPr>
          <w:lang w:val="en-US"/>
        </w:rPr>
        <w:t xml:space="preserve"> com ajuste elétrico da altura.</w:t>
      </w:r>
      <w:r w:rsidR="004D6444">
        <w:rPr>
          <w:lang w:val="en-US"/>
        </w:rPr>
        <w:br/>
      </w:r>
      <w:r w:rsidRPr="00BD6277">
        <w:rPr>
          <w:lang w:val="en-US"/>
        </w:rPr>
        <w:t>Revest</w:t>
      </w:r>
      <w:r w:rsidR="004D6444">
        <w:rPr>
          <w:lang w:val="en-US"/>
        </w:rPr>
        <w:t>imento para estrutura inferior.</w:t>
      </w:r>
      <w:r w:rsidR="004D6444">
        <w:rPr>
          <w:lang w:val="en-US"/>
        </w:rPr>
        <w:br/>
      </w:r>
      <w:r w:rsidRPr="00BD6277">
        <w:rPr>
          <w:lang w:val="en-US"/>
        </w:rPr>
        <w:t>Espaço de armazenamento na estrutura inferior.</w:t>
      </w:r>
      <w:r w:rsidR="004D6444">
        <w:rPr>
          <w:lang w:val="en-US"/>
        </w:rPr>
        <w:br/>
      </w:r>
      <w:r w:rsidRPr="00BD6277">
        <w:rPr>
          <w:lang w:val="en-US"/>
        </w:rPr>
        <w:t>Suporte de parede.</w:t>
      </w:r>
      <w:r w:rsidR="004D6444">
        <w:rPr>
          <w:lang w:val="en-US"/>
        </w:rPr>
        <w:br/>
      </w:r>
      <w:r w:rsidRPr="00BD6277">
        <w:rPr>
          <w:lang w:val="en-US"/>
        </w:rPr>
        <w:lastRenderedPageBreak/>
        <w:t>Cozinhar na pressão. O equipamento de cocção na pressão deve ser projetado tecnicamente de modo a não se enquadrar na diretriz para equipamentos de pressão 97/23/EG. Durante o processo de cocção na pressão, a tampa deve ser travada contra aberturas acidentais. A pressão deve ser permanentemente regulada e monitorada. A proteção contra sobrepressão deve ocorrer por meio de uma válvula de segurança ins</w:t>
      </w:r>
      <w:r w:rsidR="004D6444">
        <w:rPr>
          <w:lang w:val="en-US"/>
        </w:rPr>
        <w:t>talada protegida fora da tampa.</w:t>
      </w:r>
      <w:r w:rsidR="004D6444">
        <w:rPr>
          <w:lang w:val="en-US"/>
        </w:rPr>
        <w:br/>
        <w:t>Modo de fritura bloqueável.</w:t>
      </w:r>
      <w:r w:rsidR="004D6444">
        <w:rPr>
          <w:lang w:val="en-US"/>
        </w:rPr>
        <w:br/>
        <w:t>Módulo WLAN.</w:t>
      </w:r>
      <w:r w:rsidR="004D6444">
        <w:rPr>
          <w:lang w:val="en-US"/>
        </w:rPr>
        <w:br/>
        <w:t>Conexão de Ethernet RJ45.</w:t>
      </w:r>
      <w:r w:rsidR="004D6444">
        <w:rPr>
          <w:lang w:val="en-US"/>
        </w:rPr>
        <w:br/>
      </w:r>
      <w:r w:rsidRPr="00BD6277">
        <w:rPr>
          <w:lang w:val="en-US"/>
        </w:rPr>
        <w:t>Preparo da conexão em um si</w:t>
      </w:r>
      <w:r w:rsidR="004D6444">
        <w:rPr>
          <w:lang w:val="en-US"/>
        </w:rPr>
        <w:t>stema de otimização de energia.</w:t>
      </w:r>
      <w:r w:rsidR="004D6444">
        <w:rPr>
          <w:lang w:val="en-US"/>
        </w:rPr>
        <w:br/>
        <w:t>Contato seco.</w:t>
      </w:r>
      <w:r w:rsidR="004D6444">
        <w:rPr>
          <w:lang w:val="en-US"/>
        </w:rPr>
        <w:br/>
      </w:r>
      <w:r w:rsidRPr="00BD6277">
        <w:rPr>
          <w:lang w:val="en-US"/>
        </w:rPr>
        <w:t>Prepar</w:t>
      </w:r>
      <w:r w:rsidR="004D6444">
        <w:rPr>
          <w:lang w:val="en-US"/>
        </w:rPr>
        <w:t>o da conexão SOLAS.</w:t>
      </w:r>
      <w:r w:rsidR="004D6444">
        <w:rPr>
          <w:lang w:val="en-US"/>
        </w:rPr>
        <w:br/>
        <w:t>Sem ducha.</w:t>
      </w:r>
      <w:r w:rsidR="004D6444">
        <w:rPr>
          <w:lang w:val="en-US"/>
        </w:rPr>
        <w:br/>
        <w:t>Tomada protegida com FI.</w:t>
      </w:r>
      <w:r w:rsidR="004D6444">
        <w:rPr>
          <w:lang w:val="en-US"/>
        </w:rPr>
        <w:br/>
        <w:t>Sem tomada.</w:t>
      </w:r>
      <w:r w:rsidR="004D6444">
        <w:rPr>
          <w:lang w:val="en-US"/>
        </w:rPr>
        <w:br/>
        <w:t>Painel de controle bloqueável.</w:t>
      </w:r>
      <w:r w:rsidR="004D6444">
        <w:rPr>
          <w:lang w:val="en-US"/>
        </w:rPr>
        <w:br/>
        <w:t>Conexão de água quente.</w:t>
      </w:r>
      <w:r w:rsidR="004D6444">
        <w:rPr>
          <w:lang w:val="en-US"/>
        </w:rPr>
        <w:br/>
        <w:t>Espátula para virar o alimento.</w:t>
      </w:r>
      <w:r w:rsidR="004D6444">
        <w:rPr>
          <w:lang w:val="en-US"/>
        </w:rPr>
        <w:br/>
      </w:r>
      <w:r w:rsidRPr="00BD6277">
        <w:rPr>
          <w:lang w:val="en-US"/>
        </w:rPr>
        <w:t>Pá para esvaziar ou dividir g</w:t>
      </w:r>
      <w:r w:rsidR="004D6444">
        <w:rPr>
          <w:lang w:val="en-US"/>
        </w:rPr>
        <w:t>randes quantidades de alimento.</w:t>
      </w:r>
      <w:r w:rsidR="004D6444">
        <w:rPr>
          <w:lang w:val="en-US"/>
        </w:rPr>
        <w:br/>
      </w:r>
      <w:r w:rsidRPr="00BD6277">
        <w:rPr>
          <w:lang w:val="en-US"/>
        </w:rPr>
        <w:t>Espátula para misturar e mexer alimentos</w:t>
      </w:r>
      <w:r w:rsidR="004D6444">
        <w:rPr>
          <w:lang w:val="en-US"/>
        </w:rPr>
        <w:t>.</w:t>
      </w:r>
      <w:r w:rsidR="004D6444">
        <w:rPr>
          <w:lang w:val="en-US"/>
        </w:rPr>
        <w:br/>
      </w:r>
      <w:r w:rsidRPr="00BD6277">
        <w:rPr>
          <w:lang w:val="en-US"/>
        </w:rPr>
        <w:t>Braço para colocar o cesto durante o uso do sistema auto</w:t>
      </w:r>
      <w:r w:rsidR="004D6444">
        <w:rPr>
          <w:lang w:val="en-US"/>
        </w:rPr>
        <w:t>mático para levantar e abaixar.</w:t>
      </w:r>
      <w:r w:rsidR="004D6444">
        <w:rPr>
          <w:lang w:val="en-US"/>
        </w:rPr>
        <w:br/>
      </w:r>
      <w:r w:rsidRPr="00BD6277">
        <w:rPr>
          <w:lang w:val="en-US"/>
        </w:rPr>
        <w:t>Cesto para cozinhar para ser usado no sistema auto</w:t>
      </w:r>
      <w:r w:rsidR="004D6444">
        <w:rPr>
          <w:lang w:val="en-US"/>
        </w:rPr>
        <w:t>mático para levantar e abaixar.</w:t>
      </w:r>
      <w:r w:rsidR="004D6444">
        <w:rPr>
          <w:lang w:val="en-US"/>
        </w:rPr>
        <w:br/>
      </w:r>
      <w:r w:rsidRPr="00BD6277">
        <w:rPr>
          <w:lang w:val="en-US"/>
        </w:rPr>
        <w:t>Cesto para fritar para ser usado no sistema auto</w:t>
      </w:r>
      <w:r w:rsidR="004D6444">
        <w:rPr>
          <w:lang w:val="en-US"/>
        </w:rPr>
        <w:t>mático para levantar e abaixar.</w:t>
      </w:r>
      <w:r w:rsidR="004D6444">
        <w:rPr>
          <w:lang w:val="en-US"/>
        </w:rPr>
        <w:br/>
      </w:r>
      <w:r w:rsidRPr="00BD6277">
        <w:rPr>
          <w:lang w:val="en-US"/>
        </w:rPr>
        <w:t>Escorredor para esvaziar a cuba sem deix</w:t>
      </w:r>
      <w:r w:rsidR="004D6444">
        <w:rPr>
          <w:lang w:val="en-US"/>
        </w:rPr>
        <w:t>ar o alimento sair pelo esgoto.</w:t>
      </w:r>
      <w:r w:rsidR="004D6444">
        <w:rPr>
          <w:lang w:val="en-US"/>
        </w:rPr>
        <w:br/>
      </w:r>
      <w:r w:rsidRPr="00BD6277">
        <w:rPr>
          <w:lang w:val="en-US"/>
        </w:rPr>
        <w:t>Grelha para evitar o contato d</w:t>
      </w:r>
      <w:r w:rsidR="004D6444">
        <w:rPr>
          <w:lang w:val="en-US"/>
        </w:rPr>
        <w:t>o alimento com o fundo da cuba.</w:t>
      </w:r>
      <w:r w:rsidR="004D6444">
        <w:rPr>
          <w:lang w:val="en-US"/>
        </w:rPr>
        <w:br/>
      </w:r>
      <w:r w:rsidRPr="00BD6277">
        <w:rPr>
          <w:lang w:val="en-US"/>
        </w:rPr>
        <w:t>Carrinho de transporte com altura ajustável para um esvaziamento fácil e para dividir o alimento s</w:t>
      </w:r>
      <w:r w:rsidR="004D6444">
        <w:rPr>
          <w:lang w:val="en-US"/>
        </w:rPr>
        <w:t>em problemas em recipientes GN.</w:t>
      </w:r>
      <w:r w:rsidR="004D6444">
        <w:rPr>
          <w:lang w:val="en-US"/>
        </w:rPr>
        <w:br/>
      </w:r>
      <w:r w:rsidRPr="00BD6277">
        <w:rPr>
          <w:lang w:val="en-US"/>
        </w:rPr>
        <w:t>Carrinho para armazenar, transportar e escorrer os cest</w:t>
      </w:r>
      <w:r w:rsidR="004D6444">
        <w:rPr>
          <w:lang w:val="en-US"/>
        </w:rPr>
        <w:t>os para fritar e para cozinhar.</w:t>
      </w:r>
      <w:r w:rsidR="004D6444">
        <w:rPr>
          <w:lang w:val="en-US"/>
        </w:rPr>
        <w:br/>
      </w:r>
      <w:r>
        <w:rPr>
          <w:lang w:val="en-US"/>
        </w:rPr>
        <w:t>Volume útil: aproximadamente 100</w:t>
      </w:r>
      <w:r w:rsidRPr="00BD6277">
        <w:rPr>
          <w:lang w:val="en-US"/>
        </w:rPr>
        <w:t xml:space="preserve"> litros</w:t>
      </w:r>
      <w:r w:rsidR="004D6444">
        <w:rPr>
          <w:lang w:val="en-US"/>
        </w:rPr>
        <w:t xml:space="preserve"> </w:t>
      </w:r>
      <w:r w:rsidRPr="00BD6277">
        <w:rPr>
          <w:lang w:val="en-US"/>
        </w:rPr>
        <w:t>Área da superfí</w:t>
      </w:r>
      <w:r>
        <w:rPr>
          <w:lang w:val="en-US"/>
        </w:rPr>
        <w:t>cie: aproximadamente 39 dm²</w:t>
      </w:r>
      <w:r w:rsidR="004D6444">
        <w:rPr>
          <w:lang w:val="en-US"/>
        </w:rPr>
        <w:t xml:space="preserve"> </w:t>
      </w:r>
      <w:r>
        <w:rPr>
          <w:lang w:val="en-US"/>
        </w:rPr>
        <w:t>Largura: aproximadamente 1030</w:t>
      </w:r>
      <w:r w:rsidRPr="00BD6277">
        <w:rPr>
          <w:lang w:val="en-US"/>
        </w:rPr>
        <w:t xml:space="preserve"> mm</w:t>
      </w:r>
      <w:r w:rsidR="004D6444">
        <w:rPr>
          <w:lang w:val="en-US"/>
        </w:rPr>
        <w:t xml:space="preserve"> </w:t>
      </w:r>
      <w:r>
        <w:rPr>
          <w:lang w:val="en-US"/>
        </w:rPr>
        <w:t>Profundidade: aproximadamente 890</w:t>
      </w:r>
      <w:r w:rsidRPr="00BD6277">
        <w:rPr>
          <w:lang w:val="en-US"/>
        </w:rPr>
        <w:t xml:space="preserve"> mm</w:t>
      </w:r>
      <w:r w:rsidR="004D6444">
        <w:rPr>
          <w:lang w:val="en-US"/>
        </w:rPr>
        <w:t xml:space="preserve"> </w:t>
      </w:r>
      <w:r w:rsidRPr="00BD6277">
        <w:rPr>
          <w:lang w:val="en-US"/>
        </w:rPr>
        <w:t xml:space="preserve">Altura: aproximadamente </w:t>
      </w:r>
      <w:r>
        <w:rPr>
          <w:lang w:val="en-US"/>
        </w:rPr>
        <w:t>1100</w:t>
      </w:r>
      <w:r w:rsidRPr="00BD6277">
        <w:rPr>
          <w:lang w:val="en-US"/>
        </w:rPr>
        <w:t xml:space="preserve"> mm (com base inf</w:t>
      </w:r>
      <w:r w:rsidR="004D6444">
        <w:rPr>
          <w:lang w:val="en-US"/>
        </w:rPr>
        <w:t xml:space="preserve">erior) (com estrutura inferior) </w:t>
      </w:r>
      <w:r w:rsidRPr="00BD6277">
        <w:rPr>
          <w:lang w:val="en-US"/>
        </w:rPr>
        <w:t>Potênci</w:t>
      </w:r>
      <w:r>
        <w:rPr>
          <w:lang w:val="en-US"/>
        </w:rPr>
        <w:t xml:space="preserve">a de conexão: aproximadamente </w:t>
      </w:r>
      <w:r>
        <w:rPr>
          <w:lang w:val="en-US"/>
        </w:rPr>
        <w:lastRenderedPageBreak/>
        <w:t>27</w:t>
      </w:r>
      <w:r w:rsidR="004D6444">
        <w:rPr>
          <w:lang w:val="en-US"/>
        </w:rPr>
        <w:t xml:space="preserve"> kW </w:t>
      </w:r>
      <w:r w:rsidRPr="00BD6277">
        <w:rPr>
          <w:lang w:val="en-US"/>
        </w:rPr>
        <w:t xml:space="preserve">Tensão nominal: </w:t>
      </w:r>
      <w:r>
        <w:rPr>
          <w:lang w:val="en-US"/>
        </w:rPr>
        <w:t>400</w:t>
      </w:r>
      <w:r w:rsidR="004D6444">
        <w:rPr>
          <w:lang w:val="en-US"/>
        </w:rPr>
        <w:t xml:space="preserve"> V </w:t>
      </w:r>
      <w:r>
        <w:rPr>
          <w:lang w:val="en-US"/>
        </w:rPr>
        <w:t>Conexão de água fria: 3/4</w:t>
      </w:r>
      <w:r w:rsidR="004D6444">
        <w:rPr>
          <w:lang w:val="en-US"/>
        </w:rPr>
        <w:t xml:space="preserve">" </w:t>
      </w:r>
      <w:r w:rsidRPr="00BD6277">
        <w:rPr>
          <w:lang w:val="en-US"/>
        </w:rPr>
        <w:t>Saída de água: DN 50</w:t>
      </w:r>
      <w:r w:rsidR="004D6444">
        <w:rPr>
          <w:lang w:val="en-US"/>
        </w:rPr>
        <w:t xml:space="preserve"> </w:t>
      </w:r>
      <w:r w:rsidRPr="004D6444">
        <w:rPr>
          <w:lang w:val="en-US"/>
        </w:rPr>
        <w:t>Conexão de esgoto em rede fixa ou escoamento aberto sem proteção.</w:t>
      </w:r>
    </w:p>
    <w:sectPr w:rsidR="00532CFF" w:rsidRPr="004D64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7F4F" w:rsidRDefault="00F37F4F" w:rsidP="00F37F4F">
      <w:pPr>
        <w:spacing w:after="0" w:line="240" w:lineRule="auto"/>
      </w:pPr>
      <w:r>
        <w:separator/>
      </w:r>
    </w:p>
  </w:endnote>
  <w:endnote w:type="continuationSeparator" w:id="0">
    <w:p w:rsidR="00F37F4F" w:rsidRDefault="00F37F4F" w:rsidP="00F37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ATIONAL Sans TT">
    <w:panose1 w:val="020B0504020101010102"/>
    <w:charset w:val="00"/>
    <w:family w:val="swiss"/>
    <w:pitch w:val="variable"/>
    <w:sig w:usb0="A00002FF" w:usb1="4000607B" w:usb2="00000008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7F4F" w:rsidRDefault="00F37F4F" w:rsidP="00F37F4F">
      <w:pPr>
        <w:spacing w:after="0" w:line="240" w:lineRule="auto"/>
      </w:pPr>
      <w:r>
        <w:separator/>
      </w:r>
    </w:p>
  </w:footnote>
  <w:footnote w:type="continuationSeparator" w:id="0">
    <w:p w:rsidR="00F37F4F" w:rsidRDefault="00F37F4F" w:rsidP="00F37F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1D"/>
    <w:rsid w:val="000C4278"/>
    <w:rsid w:val="000F21BB"/>
    <w:rsid w:val="001A49B6"/>
    <w:rsid w:val="001D444A"/>
    <w:rsid w:val="00201920"/>
    <w:rsid w:val="002B248E"/>
    <w:rsid w:val="00337FFD"/>
    <w:rsid w:val="00350F45"/>
    <w:rsid w:val="003660D0"/>
    <w:rsid w:val="003D2AEE"/>
    <w:rsid w:val="003F3650"/>
    <w:rsid w:val="004D6444"/>
    <w:rsid w:val="00532CFF"/>
    <w:rsid w:val="00560E89"/>
    <w:rsid w:val="00604B02"/>
    <w:rsid w:val="00622137"/>
    <w:rsid w:val="006555C4"/>
    <w:rsid w:val="00671389"/>
    <w:rsid w:val="00687DD0"/>
    <w:rsid w:val="006E4D48"/>
    <w:rsid w:val="006F24E8"/>
    <w:rsid w:val="007F3577"/>
    <w:rsid w:val="008E4D5B"/>
    <w:rsid w:val="00A61285"/>
    <w:rsid w:val="00A96A40"/>
    <w:rsid w:val="00AB6FD8"/>
    <w:rsid w:val="00B9627B"/>
    <w:rsid w:val="00BD6277"/>
    <w:rsid w:val="00CA4065"/>
    <w:rsid w:val="00DB211D"/>
    <w:rsid w:val="00E15456"/>
    <w:rsid w:val="00E70FFE"/>
    <w:rsid w:val="00EB485B"/>
    <w:rsid w:val="00ED68BF"/>
    <w:rsid w:val="00F22A73"/>
    <w:rsid w:val="00F37F4F"/>
    <w:rsid w:val="00F6128F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chartTrackingRefBased/>
  <w15:docId w15:val="{88DA544C-FEC3-43F0-A006-CF488006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50F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ational_Design">
  <a:themeElements>
    <a:clrScheme name="Rational">
      <a:dk1>
        <a:srgbClr val="3C3C3C"/>
      </a:dk1>
      <a:lt1>
        <a:srgbClr val="FFFFFF"/>
      </a:lt1>
      <a:dk2>
        <a:srgbClr val="C8C8C8"/>
      </a:dk2>
      <a:lt2>
        <a:srgbClr val="7D7D7D"/>
      </a:lt2>
      <a:accent1>
        <a:srgbClr val="003C75"/>
      </a:accent1>
      <a:accent2>
        <a:srgbClr val="105591"/>
      </a:accent2>
      <a:accent3>
        <a:srgbClr val="3273AF"/>
      </a:accent3>
      <a:accent4>
        <a:srgbClr val="6699C5"/>
      </a:accent4>
      <a:accent5>
        <a:srgbClr val="A0C3E1"/>
      </a:accent5>
      <a:accent6>
        <a:srgbClr val="E2001A"/>
      </a:accent6>
      <a:hlink>
        <a:srgbClr val="0000FF"/>
      </a:hlink>
      <a:folHlink>
        <a:srgbClr val="800080"/>
      </a:folHlink>
    </a:clrScheme>
    <a:fontScheme name="Rational">
      <a:majorFont>
        <a:latin typeface="RATIONAL Sans TT"/>
        <a:ea typeface=""/>
        <a:cs typeface=""/>
      </a:majorFont>
      <a:minorFont>
        <a:latin typeface="RATIONAL Sans T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/>
        </a:solidFill>
      </a:spPr>
      <a:bodyPr wrap="square" lIns="72000" tIns="72000" rIns="72000" bIns="72000" rtlCol="0">
        <a:noAutofit/>
      </a:bodyPr>
      <a:lstStyle>
        <a:defPPr>
          <a:lnSpc>
            <a:spcPts val="1200"/>
          </a:lnSpc>
          <a:defRPr sz="1000" dirty="0" err="1" smtClean="0"/>
        </a:defPPr>
      </a:lstStyle>
    </a:txDef>
  </a:objectDefaults>
  <a:extraClrSchemeLst/>
  <a:custClrLst>
    <a:custClr name="Weiß">
      <a:srgbClr val="FFFFFF"/>
    </a:custClr>
    <a:custClr name="Rational Rot">
      <a:srgbClr val="E2001A"/>
    </a:custClr>
    <a:custClr name="Dunkelrot">
      <a:srgbClr val="AA0B25"/>
    </a:custClr>
    <a:custClr name="Gelb">
      <a:srgbClr val="E8A900"/>
    </a:custClr>
    <a:custClr name="Grün">
      <a:srgbClr val="00853E"/>
    </a:custClr>
    <a:custClr name="Tiefschwarz">
      <a:srgbClr val="000000"/>
    </a:custClr>
    <a:custClr name="Schrift Schwarz">
      <a:srgbClr val="3C3C3C"/>
    </a:custClr>
    <a:custClr name="Dunkelgrau">
      <a:srgbClr val="7D7D7D"/>
    </a:custClr>
    <a:custClr name="Mittelgrau">
      <a:srgbClr val="C8C8C8"/>
    </a:custClr>
    <a:custClr name="Hellgrau">
      <a:srgbClr val="EBEBEB"/>
    </a:custClr>
    <a:custClr name="Rational Blau">
      <a:srgbClr val="003C75"/>
    </a:custClr>
    <a:custClr name="Dunkelblau">
      <a:srgbClr val="105591"/>
    </a:custClr>
    <a:custClr name="Mittelblau">
      <a:srgbClr val="3273AF"/>
    </a:custClr>
    <a:custClr name="Hellblau">
      <a:srgbClr val="6699C5"/>
    </a:custClr>
    <a:custClr name="Leichtes Blau">
      <a:srgbClr val="A0C3E1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1174</Words>
  <Characters>7400</Characters>
  <Application>Microsoft Office Word</Application>
  <DocSecurity>4</DocSecurity>
  <Lines>61</Lines>
  <Paragraphs>17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RATIONAL AG</Company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Streicher, Maximilian</dc:creator>
  <cp:keywords/>
  <dc:description/>
  <cp:lastModifiedBy>Rank, Detlef</cp:lastModifiedBy>
  <cp:revision>2</cp:revision>
  <dcterms:created xsi:type="dcterms:W3CDTF">2020-04-20T15:02:00Z</dcterms:created>
  <dcterms:modified xsi:type="dcterms:W3CDTF">2020-04-20T15:02:00Z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54b091-04ac-479a-a84d-dd88221e828c_Enabled">
    <vt:lpwstr>True</vt:lpwstr>
  </property>
  <property fmtid="{D5CDD505-2E9C-101B-9397-08002B2CF9AE}" pid="3" name="MSIP_Label_d554b091-04ac-479a-a84d-dd88221e828c_SiteId">
    <vt:lpwstr>16dbd641-f98d-4ec4-967d-799b7e2b4147</vt:lpwstr>
  </property>
  <property fmtid="{D5CDD505-2E9C-101B-9397-08002B2CF9AE}" pid="4" name="MSIP_Label_d554b091-04ac-479a-a84d-dd88221e828c_Owner">
    <vt:lpwstr>m.streicher@rational-online.com</vt:lpwstr>
  </property>
  <property fmtid="{D5CDD505-2E9C-101B-9397-08002B2CF9AE}" pid="5" name="MSIP_Label_d554b091-04ac-479a-a84d-dd88221e828c_SetDate">
    <vt:lpwstr>2019-12-09T09:44:17.7241521Z</vt:lpwstr>
  </property>
  <property fmtid="{D5CDD505-2E9C-101B-9397-08002B2CF9AE}" pid="6" name="MSIP_Label_d554b091-04ac-479a-a84d-dd88221e828c_Name">
    <vt:lpwstr>Business</vt:lpwstr>
  </property>
  <property fmtid="{D5CDD505-2E9C-101B-9397-08002B2CF9AE}" pid="7" name="MSIP_Label_d554b091-04ac-479a-a84d-dd88221e828c_Application">
    <vt:lpwstr>Microsoft Azure Information Protection</vt:lpwstr>
  </property>
  <property fmtid="{D5CDD505-2E9C-101B-9397-08002B2CF9AE}" pid="8" name="MSIP_Label_d554b091-04ac-479a-a84d-dd88221e828c_ActionId">
    <vt:lpwstr>89e01fa2-64e1-472b-b8c3-545ebe5cb559</vt:lpwstr>
  </property>
  <property fmtid="{D5CDD505-2E9C-101B-9397-08002B2CF9AE}" pid="9" name="MSIP_Label_d554b091-04ac-479a-a84d-dd88221e828c_Extended_MSFT_Method">
    <vt:lpwstr>Manual</vt:lpwstr>
  </property>
  <property fmtid="{D5CDD505-2E9C-101B-9397-08002B2CF9AE}" pid="10" name="Sensitivity">
    <vt:lpwstr>Business</vt:lpwstr>
  </property>
</Properties>
</file>